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DBC" w:rsidRPr="003E0C95" w:rsidRDefault="00976DBC" w:rsidP="00976DBC">
      <w:pPr>
        <w:pStyle w:val="NormalBase"/>
        <w:rPr>
          <w:rFonts w:asciiTheme="minorHAnsi" w:hAnsiTheme="minorHAnsi" w:cstheme="minorHAnsi"/>
        </w:rPr>
      </w:pPr>
    </w:p>
    <w:p w:rsidR="00976DBC" w:rsidRPr="003E0C95" w:rsidRDefault="00976DBC" w:rsidP="00976DBC">
      <w:pPr>
        <w:pStyle w:val="Heading1"/>
        <w:rPr>
          <w:rFonts w:asciiTheme="minorHAnsi" w:hAnsiTheme="minorHAnsi" w:cstheme="minorHAnsi"/>
          <w:b/>
        </w:rPr>
      </w:pPr>
      <w:r w:rsidRPr="003E0C95">
        <w:rPr>
          <w:rFonts w:asciiTheme="minorHAnsi" w:hAnsiTheme="minorHAnsi" w:cstheme="minorHAnsi"/>
          <w:b/>
        </w:rPr>
        <w:t>DEAKIN UNIVERSITY</w:t>
      </w:r>
    </w:p>
    <w:p w:rsidR="00976DBC" w:rsidRPr="003E0C95" w:rsidRDefault="00976DBC" w:rsidP="00976DBC">
      <w:pPr>
        <w:pStyle w:val="Heading1"/>
        <w:rPr>
          <w:rFonts w:asciiTheme="minorHAnsi" w:hAnsiTheme="minorHAnsi" w:cstheme="minorHAnsi"/>
          <w:b/>
        </w:rPr>
      </w:pPr>
      <w:r w:rsidRPr="003E0C95">
        <w:rPr>
          <w:rFonts w:asciiTheme="minorHAnsi" w:hAnsiTheme="minorHAnsi" w:cstheme="minorHAnsi"/>
          <w:b/>
        </w:rPr>
        <w:t>SCHOOL OF LAW RESEARCH REPORT No 1</w:t>
      </w:r>
      <w:r>
        <w:rPr>
          <w:rFonts w:asciiTheme="minorHAnsi" w:hAnsiTheme="minorHAnsi" w:cstheme="minorHAnsi"/>
          <w:b/>
        </w:rPr>
        <w:t>7</w:t>
      </w:r>
      <w:r w:rsidRPr="003E0C95">
        <w:rPr>
          <w:rFonts w:asciiTheme="minorHAnsi" w:hAnsiTheme="minorHAnsi" w:cstheme="minorHAnsi"/>
          <w:b/>
        </w:rPr>
        <w:t xml:space="preserve"> </w:t>
      </w:r>
    </w:p>
    <w:p w:rsidR="00976DBC" w:rsidRPr="003E0C95" w:rsidRDefault="00976DBC" w:rsidP="00976DBC">
      <w:pPr>
        <w:pStyle w:val="Heading1"/>
        <w:rPr>
          <w:rFonts w:asciiTheme="minorHAnsi" w:hAnsiTheme="minorHAnsi" w:cstheme="minorHAnsi"/>
          <w:b/>
        </w:rPr>
      </w:pPr>
      <w:r>
        <w:rPr>
          <w:rFonts w:asciiTheme="minorHAnsi" w:hAnsiTheme="minorHAnsi" w:cstheme="minorHAnsi"/>
          <w:b/>
        </w:rPr>
        <w:t>06</w:t>
      </w:r>
      <w:r w:rsidRPr="003E0C95">
        <w:rPr>
          <w:rFonts w:asciiTheme="minorHAnsi" w:hAnsiTheme="minorHAnsi" w:cstheme="minorHAnsi"/>
          <w:b/>
        </w:rPr>
        <w:t>/0</w:t>
      </w:r>
      <w:r>
        <w:rPr>
          <w:rFonts w:asciiTheme="minorHAnsi" w:hAnsiTheme="minorHAnsi" w:cstheme="minorHAnsi"/>
          <w:b/>
        </w:rPr>
        <w:t>9</w:t>
      </w:r>
      <w:r w:rsidRPr="003E0C95">
        <w:rPr>
          <w:rFonts w:asciiTheme="minorHAnsi" w:hAnsiTheme="minorHAnsi" w:cstheme="minorHAnsi"/>
          <w:b/>
        </w:rPr>
        <w:t xml:space="preserve"> /2013</w:t>
      </w:r>
    </w:p>
    <w:p w:rsidR="00976DBC" w:rsidRPr="003E0C95" w:rsidRDefault="00976DBC" w:rsidP="00976DBC">
      <w:pPr>
        <w:pStyle w:val="Heading2"/>
        <w:rPr>
          <w:rFonts w:asciiTheme="minorHAnsi" w:hAnsiTheme="minorHAnsi" w:cstheme="minorHAnsi"/>
          <w:color w:val="FF0000"/>
          <w:sz w:val="28"/>
          <w:szCs w:val="28"/>
        </w:rPr>
      </w:pPr>
      <w:r w:rsidRPr="003E0C95">
        <w:rPr>
          <w:rFonts w:asciiTheme="minorHAnsi" w:hAnsiTheme="minorHAnsi" w:cstheme="minorHAnsi"/>
          <w:color w:val="FF0000"/>
          <w:sz w:val="28"/>
          <w:szCs w:val="28"/>
        </w:rPr>
        <w:t>RECENT PUBLICATIONS</w:t>
      </w:r>
    </w:p>
    <w:p w:rsidR="00976DBC" w:rsidRPr="003E0C95" w:rsidRDefault="00976DBC" w:rsidP="00976DBC">
      <w:pPr>
        <w:keepNext/>
        <w:keepLines/>
        <w:numPr>
          <w:ilvl w:val="1"/>
          <w:numId w:val="1"/>
        </w:numPr>
        <w:spacing w:line="280" w:lineRule="atLeast"/>
        <w:outlineLvl w:val="1"/>
        <w:rPr>
          <w:rFonts w:asciiTheme="minorHAnsi" w:hAnsiTheme="minorHAnsi" w:cstheme="minorHAnsi"/>
          <w:color w:val="0070C0"/>
        </w:rPr>
      </w:pPr>
      <w:r w:rsidRPr="003E0C95">
        <w:rPr>
          <w:rFonts w:asciiTheme="minorHAnsi" w:hAnsiTheme="minorHAnsi" w:cstheme="minorHAnsi"/>
          <w:b/>
          <w:color w:val="7030A0"/>
        </w:rPr>
        <w:t>Congratulations to the author</w:t>
      </w:r>
      <w:r w:rsidR="0022442A">
        <w:rPr>
          <w:rFonts w:asciiTheme="minorHAnsi" w:hAnsiTheme="minorHAnsi" w:cstheme="minorHAnsi"/>
          <w:b/>
          <w:color w:val="7030A0"/>
        </w:rPr>
        <w:t>s</w:t>
      </w:r>
      <w:r w:rsidRPr="003E0C95">
        <w:rPr>
          <w:rFonts w:asciiTheme="minorHAnsi" w:hAnsiTheme="minorHAnsi" w:cstheme="minorHAnsi"/>
          <w:b/>
          <w:color w:val="7030A0"/>
        </w:rPr>
        <w:t xml:space="preserve"> of the following recent publication</w:t>
      </w:r>
      <w:r w:rsidR="0022442A">
        <w:rPr>
          <w:rFonts w:asciiTheme="minorHAnsi" w:hAnsiTheme="minorHAnsi" w:cstheme="minorHAnsi"/>
          <w:b/>
          <w:color w:val="7030A0"/>
        </w:rPr>
        <w:t>s</w:t>
      </w:r>
      <w:r w:rsidRPr="003E0C95">
        <w:rPr>
          <w:rFonts w:asciiTheme="minorHAnsi" w:hAnsiTheme="minorHAnsi" w:cstheme="minorHAnsi"/>
          <w:b/>
          <w:color w:val="7030A0"/>
        </w:rPr>
        <w:t>:</w:t>
      </w:r>
      <w:r w:rsidRPr="003E0C95">
        <w:rPr>
          <w:rFonts w:asciiTheme="minorHAnsi" w:hAnsiTheme="minorHAnsi" w:cstheme="minorHAnsi"/>
        </w:rPr>
        <w:t xml:space="preserve"> </w:t>
      </w:r>
    </w:p>
    <w:p w:rsidR="008A5B26" w:rsidRPr="008A5B26" w:rsidRDefault="008A5B26" w:rsidP="00976DBC">
      <w:pPr>
        <w:keepNext/>
        <w:keepLines/>
        <w:numPr>
          <w:ilvl w:val="1"/>
          <w:numId w:val="1"/>
        </w:numPr>
        <w:spacing w:line="280" w:lineRule="atLeast"/>
        <w:outlineLvl w:val="1"/>
        <w:rPr>
          <w:rFonts w:asciiTheme="minorHAnsi" w:hAnsiTheme="minorHAnsi" w:cstheme="minorHAnsi"/>
          <w:color w:val="0070C0"/>
        </w:rPr>
      </w:pPr>
    </w:p>
    <w:p w:rsidR="00976DBC" w:rsidRPr="008A5B26" w:rsidRDefault="0022442A" w:rsidP="00976DBC">
      <w:pPr>
        <w:keepNext/>
        <w:keepLines/>
        <w:numPr>
          <w:ilvl w:val="1"/>
          <w:numId w:val="1"/>
        </w:numPr>
        <w:spacing w:line="280" w:lineRule="atLeast"/>
        <w:outlineLvl w:val="1"/>
        <w:rPr>
          <w:rFonts w:asciiTheme="minorHAnsi" w:hAnsiTheme="minorHAnsi" w:cstheme="minorHAnsi"/>
          <w:color w:val="0070C0"/>
        </w:rPr>
      </w:pPr>
      <w:r w:rsidRPr="008A5B26">
        <w:rPr>
          <w:rFonts w:asciiTheme="minorHAnsi" w:hAnsiTheme="minorHAnsi" w:cstheme="minorHAnsi"/>
          <w:b/>
          <w:color w:val="C00000"/>
        </w:rPr>
        <w:t>Mendelson Danuta</w:t>
      </w:r>
      <w:r w:rsidR="008A5B26">
        <w:rPr>
          <w:rFonts w:asciiTheme="minorHAnsi" w:hAnsiTheme="minorHAnsi" w:cstheme="minorHAnsi"/>
          <w:b/>
          <w:color w:val="C00000"/>
        </w:rPr>
        <w:t>,</w:t>
      </w:r>
      <w:r w:rsidRPr="008A5B26">
        <w:rPr>
          <w:rFonts w:asciiTheme="minorHAnsi" w:hAnsiTheme="minorHAnsi" w:cstheme="minorHAnsi"/>
        </w:rPr>
        <w:t xml:space="preserve"> Mendelson George, ‘Opioid regulation: Time to reconsider the nomenclature and approach’ (2013) 21 </w:t>
      </w:r>
      <w:r w:rsidRPr="008A5B26">
        <w:rPr>
          <w:rFonts w:asciiTheme="minorHAnsi" w:hAnsiTheme="minorHAnsi" w:cstheme="minorHAnsi"/>
          <w:i/>
        </w:rPr>
        <w:t>Journal of Law and Medicine</w:t>
      </w:r>
      <w:r w:rsidRPr="008A5B26">
        <w:rPr>
          <w:rFonts w:asciiTheme="minorHAnsi" w:hAnsiTheme="minorHAnsi" w:cstheme="minorHAnsi"/>
        </w:rPr>
        <w:t xml:space="preserve"> 27-38</w:t>
      </w:r>
    </w:p>
    <w:p w:rsidR="008A5B26" w:rsidRPr="008A5B26" w:rsidRDefault="008A5B26" w:rsidP="008A5B26">
      <w:pPr>
        <w:pStyle w:val="ListParagraph"/>
        <w:rPr>
          <w:rFonts w:asciiTheme="minorHAnsi" w:hAnsiTheme="minorHAnsi" w:cstheme="minorHAnsi"/>
          <w:color w:val="0070C0"/>
        </w:rPr>
      </w:pPr>
    </w:p>
    <w:p w:rsidR="008A5B26" w:rsidRPr="008A5B26" w:rsidRDefault="008A5B26" w:rsidP="008A5B26">
      <w:pPr>
        <w:tabs>
          <w:tab w:val="left" w:pos="1080"/>
        </w:tabs>
        <w:ind w:left="1080" w:hanging="1080"/>
        <w:rPr>
          <w:rFonts w:asciiTheme="minorHAnsi" w:hAnsiTheme="minorHAnsi" w:cstheme="minorHAnsi"/>
          <w:lang w:val="en-GB"/>
        </w:rPr>
      </w:pPr>
      <w:r w:rsidRPr="008A5B26">
        <w:rPr>
          <w:b/>
          <w:lang w:val="en-GB"/>
        </w:rPr>
        <w:tab/>
      </w:r>
      <w:r w:rsidRPr="008A5B26">
        <w:rPr>
          <w:rFonts w:asciiTheme="minorHAnsi" w:hAnsiTheme="minorHAnsi" w:cstheme="minorHAnsi"/>
          <w:b/>
          <w:color w:val="C00000"/>
          <w:lang w:val="en-GB"/>
        </w:rPr>
        <w:t>Mendelson D</w:t>
      </w:r>
      <w:r>
        <w:rPr>
          <w:rFonts w:asciiTheme="minorHAnsi" w:hAnsiTheme="minorHAnsi" w:cstheme="minorHAnsi"/>
          <w:b/>
          <w:color w:val="C00000"/>
          <w:lang w:val="en-GB"/>
        </w:rPr>
        <w:t>anuta</w:t>
      </w:r>
      <w:r w:rsidRPr="008A5B26">
        <w:rPr>
          <w:rFonts w:asciiTheme="minorHAnsi" w:hAnsiTheme="minorHAnsi" w:cstheme="minorHAnsi"/>
          <w:lang w:val="en-GB"/>
        </w:rPr>
        <w:t xml:space="preserve">, </w:t>
      </w:r>
      <w:r w:rsidRPr="008A5B26">
        <w:rPr>
          <w:rFonts w:asciiTheme="minorHAnsi" w:hAnsiTheme="minorHAnsi" w:cstheme="minorHAnsi"/>
          <w:b/>
          <w:color w:val="C00000"/>
          <w:lang w:val="en-GB"/>
        </w:rPr>
        <w:t>Bagaric M</w:t>
      </w:r>
      <w:r>
        <w:rPr>
          <w:rFonts w:asciiTheme="minorHAnsi" w:hAnsiTheme="minorHAnsi" w:cstheme="minorHAnsi"/>
          <w:b/>
          <w:color w:val="C00000"/>
          <w:lang w:val="en-GB"/>
        </w:rPr>
        <w:t>irko</w:t>
      </w:r>
      <w:r w:rsidRPr="008A5B26">
        <w:rPr>
          <w:rFonts w:asciiTheme="minorHAnsi" w:hAnsiTheme="minorHAnsi" w:cstheme="minorHAnsi"/>
          <w:lang w:val="en-GB"/>
        </w:rPr>
        <w:t xml:space="preserve">, ‘Assisted Suicide through the Prism of Right to Life’ (forthcoming, (2013) 36 (4) </w:t>
      </w:r>
      <w:r w:rsidRPr="008A5B26">
        <w:rPr>
          <w:rFonts w:asciiTheme="minorHAnsi" w:hAnsiTheme="minorHAnsi" w:cstheme="minorHAnsi"/>
          <w:i/>
          <w:lang w:val="en-GB"/>
        </w:rPr>
        <w:t>International Journal of Law and Psychiatry</w:t>
      </w:r>
      <w:r w:rsidRPr="008A5B26">
        <w:rPr>
          <w:rFonts w:asciiTheme="minorHAnsi" w:hAnsiTheme="minorHAnsi" w:cstheme="minorHAnsi"/>
          <w:lang w:val="en-GB"/>
        </w:rPr>
        <w:t xml:space="preserve">) </w:t>
      </w:r>
      <w:hyperlink r:id="rId8" w:tgtFrame="doilink" w:history="1">
        <w:r w:rsidRPr="008A5B26">
          <w:rPr>
            <w:rStyle w:val="Hyperlink"/>
            <w:rFonts w:asciiTheme="minorHAnsi" w:eastAsia="Times New Roman" w:hAnsiTheme="minorHAnsi" w:cstheme="minorHAnsi"/>
            <w:lang w:val="en-AU"/>
          </w:rPr>
          <w:t>http://dx.doi.org/10.1016/j.ijlp.2013.06.012</w:t>
        </w:r>
      </w:hyperlink>
    </w:p>
    <w:p w:rsidR="008A5B26" w:rsidRPr="008A5B26" w:rsidRDefault="008A5B26" w:rsidP="008A5B26">
      <w:pPr>
        <w:tabs>
          <w:tab w:val="left" w:pos="1080"/>
        </w:tabs>
        <w:ind w:left="1080" w:hanging="1080"/>
        <w:rPr>
          <w:rFonts w:asciiTheme="minorHAnsi" w:hAnsiTheme="minorHAnsi" w:cstheme="minorHAnsi"/>
          <w:color w:val="1F497D"/>
        </w:rPr>
      </w:pPr>
      <w:r w:rsidRPr="008A5B26">
        <w:rPr>
          <w:rFonts w:asciiTheme="minorHAnsi" w:hAnsiTheme="minorHAnsi" w:cstheme="minorHAnsi"/>
          <w:color w:val="1F497D"/>
        </w:rPr>
        <w:tab/>
      </w:r>
    </w:p>
    <w:p w:rsidR="008A5B26" w:rsidRPr="008A5B26" w:rsidRDefault="008A5B26" w:rsidP="008A5B26">
      <w:pPr>
        <w:keepNext/>
        <w:keepLines/>
        <w:numPr>
          <w:ilvl w:val="1"/>
          <w:numId w:val="1"/>
        </w:numPr>
        <w:spacing w:line="280" w:lineRule="atLeast"/>
        <w:outlineLvl w:val="1"/>
        <w:rPr>
          <w:rFonts w:asciiTheme="minorHAnsi" w:hAnsiTheme="minorHAnsi" w:cstheme="minorHAnsi"/>
          <w:color w:val="0070C0"/>
        </w:rPr>
      </w:pPr>
      <w:r w:rsidRPr="008A5B26">
        <w:rPr>
          <w:rFonts w:asciiTheme="minorHAnsi" w:hAnsiTheme="minorHAnsi" w:cstheme="minorHAnsi"/>
          <w:b/>
          <w:color w:val="C00000"/>
        </w:rPr>
        <w:t>Mendelson D</w:t>
      </w:r>
      <w:r>
        <w:rPr>
          <w:rFonts w:asciiTheme="minorHAnsi" w:hAnsiTheme="minorHAnsi" w:cstheme="minorHAnsi"/>
          <w:b/>
          <w:color w:val="C00000"/>
        </w:rPr>
        <w:t>anuta</w:t>
      </w:r>
      <w:r w:rsidRPr="008A5B26">
        <w:rPr>
          <w:rFonts w:asciiTheme="minorHAnsi" w:hAnsiTheme="minorHAnsi" w:cstheme="minorHAnsi"/>
        </w:rPr>
        <w:t>, Freckelton I</w:t>
      </w:r>
      <w:r>
        <w:rPr>
          <w:rFonts w:asciiTheme="minorHAnsi" w:hAnsiTheme="minorHAnsi" w:cstheme="minorHAnsi"/>
        </w:rPr>
        <w:t>an</w:t>
      </w:r>
      <w:r w:rsidRPr="008A5B26">
        <w:rPr>
          <w:rFonts w:asciiTheme="minorHAnsi" w:hAnsiTheme="minorHAnsi" w:cstheme="minorHAnsi"/>
        </w:rPr>
        <w:t>, 'The Interface of the Civil and Criminal Law of Suicide at Common Law (1194-1845)</w:t>
      </w:r>
      <w:r w:rsidRPr="008A5B26">
        <w:rPr>
          <w:rFonts w:asciiTheme="minorHAnsi" w:hAnsiTheme="minorHAnsi" w:cstheme="minorHAnsi"/>
          <w:lang w:val="en-GB"/>
        </w:rPr>
        <w:t xml:space="preserve">, (2013) 36 (5) </w:t>
      </w:r>
      <w:r w:rsidRPr="008A5B26">
        <w:rPr>
          <w:rFonts w:asciiTheme="minorHAnsi" w:hAnsiTheme="minorHAnsi" w:cstheme="minorHAnsi"/>
          <w:i/>
          <w:lang w:val="en-GB"/>
        </w:rPr>
        <w:t>International Journal of Law and Psychiatry</w:t>
      </w:r>
      <w:r w:rsidRPr="008A5B26">
        <w:rPr>
          <w:rFonts w:asciiTheme="minorHAnsi" w:hAnsiTheme="minorHAnsi" w:cstheme="minorHAnsi"/>
          <w:lang w:val="en-GB"/>
        </w:rPr>
        <w:t xml:space="preserve">) </w:t>
      </w:r>
      <w:hyperlink r:id="rId9" w:tgtFrame="doilink" w:history="1">
        <w:r w:rsidRPr="008A5B26">
          <w:rPr>
            <w:rStyle w:val="Hyperlink"/>
            <w:rFonts w:asciiTheme="minorHAnsi" w:eastAsia="Times New Roman" w:hAnsiTheme="minorHAnsi" w:cstheme="minorHAnsi"/>
            <w:lang w:val="en-AU"/>
          </w:rPr>
          <w:t>http://dx.doi.org/10.1016/j.ijlp.2013.06.005</w:t>
        </w:r>
      </w:hyperlink>
    </w:p>
    <w:p w:rsidR="00976DBC" w:rsidRDefault="00976DBC" w:rsidP="00976DBC">
      <w:pPr>
        <w:pStyle w:val="Heading2"/>
        <w:numPr>
          <w:ilvl w:val="0"/>
          <w:numId w:val="0"/>
        </w:numPr>
        <w:ind w:left="1134"/>
        <w:rPr>
          <w:rFonts w:asciiTheme="minorHAnsi" w:hAnsiTheme="minorHAnsi" w:cstheme="minorHAnsi"/>
          <w:color w:val="FF0000"/>
          <w:sz w:val="28"/>
          <w:szCs w:val="28"/>
        </w:rPr>
      </w:pPr>
      <w:r w:rsidRPr="003E0C95">
        <w:rPr>
          <w:rFonts w:asciiTheme="minorHAnsi" w:hAnsiTheme="minorHAnsi" w:cstheme="minorHAnsi"/>
          <w:color w:val="FF0000"/>
          <w:sz w:val="28"/>
          <w:szCs w:val="28"/>
        </w:rPr>
        <w:t>RESEARCH IMPACT</w:t>
      </w:r>
    </w:p>
    <w:p w:rsidR="008A5B26" w:rsidRPr="005133BE" w:rsidRDefault="008A5B26" w:rsidP="008A5B26">
      <w:pPr>
        <w:pStyle w:val="BodyText"/>
        <w:rPr>
          <w:rFonts w:asciiTheme="minorHAnsi" w:hAnsiTheme="minorHAnsi" w:cstheme="minorHAnsi"/>
          <w:sz w:val="24"/>
          <w:szCs w:val="24"/>
        </w:rPr>
      </w:pPr>
      <w:r w:rsidRPr="005133BE">
        <w:rPr>
          <w:rFonts w:asciiTheme="minorHAnsi" w:hAnsiTheme="minorHAnsi" w:cstheme="minorHAnsi"/>
          <w:b/>
          <w:color w:val="C00000"/>
          <w:sz w:val="24"/>
          <w:szCs w:val="24"/>
        </w:rPr>
        <w:t xml:space="preserve">Elizabeth </w:t>
      </w:r>
      <w:proofErr w:type="spellStart"/>
      <w:r w:rsidRPr="005133BE">
        <w:rPr>
          <w:rFonts w:asciiTheme="minorHAnsi" w:hAnsiTheme="minorHAnsi" w:cstheme="minorHAnsi"/>
          <w:b/>
          <w:color w:val="C00000"/>
          <w:sz w:val="24"/>
          <w:szCs w:val="24"/>
        </w:rPr>
        <w:t>Adeney</w:t>
      </w:r>
      <w:r w:rsidRPr="005133BE">
        <w:rPr>
          <w:rFonts w:asciiTheme="minorHAnsi" w:hAnsiTheme="minorHAnsi" w:cstheme="minorHAnsi"/>
          <w:sz w:val="24"/>
          <w:szCs w:val="24"/>
        </w:rPr>
        <w:t>’s</w:t>
      </w:r>
      <w:proofErr w:type="spellEnd"/>
      <w:r w:rsidRPr="005133BE">
        <w:rPr>
          <w:rFonts w:asciiTheme="minorHAnsi" w:hAnsiTheme="minorHAnsi" w:cstheme="minorHAnsi"/>
          <w:sz w:val="24"/>
          <w:szCs w:val="24"/>
        </w:rPr>
        <w:t xml:space="preserve"> article </w:t>
      </w:r>
      <w:r w:rsidR="005133BE" w:rsidRPr="005133BE">
        <w:rPr>
          <w:rFonts w:asciiTheme="minorHAnsi" w:hAnsiTheme="minorHAnsi" w:cstheme="minorHAnsi"/>
          <w:color w:val="3D3A37"/>
          <w:sz w:val="24"/>
          <w:szCs w:val="24"/>
          <w:shd w:val="clear" w:color="auto" w:fill="FFFFFF"/>
        </w:rPr>
        <w:t xml:space="preserve">‘Appropriation in the Name of Art: Is a Quotation Exception the Answer?’ (2013) 23(3) </w:t>
      </w:r>
      <w:r w:rsidR="005133BE" w:rsidRPr="005133BE">
        <w:rPr>
          <w:rFonts w:asciiTheme="minorHAnsi" w:hAnsiTheme="minorHAnsi" w:cstheme="minorHAnsi"/>
          <w:i/>
          <w:iCs/>
          <w:color w:val="3D3A37"/>
          <w:sz w:val="24"/>
          <w:szCs w:val="24"/>
          <w:bdr w:val="none" w:sz="0" w:space="0" w:color="auto" w:frame="1"/>
          <w:shd w:val="clear" w:color="auto" w:fill="FFFFFF"/>
        </w:rPr>
        <w:t xml:space="preserve">Australian Intellectual Property </w:t>
      </w:r>
      <w:proofErr w:type="gramStart"/>
      <w:r w:rsidR="005133BE" w:rsidRPr="005133BE">
        <w:rPr>
          <w:rFonts w:asciiTheme="minorHAnsi" w:hAnsiTheme="minorHAnsi" w:cstheme="minorHAnsi"/>
          <w:i/>
          <w:iCs/>
          <w:color w:val="3D3A37"/>
          <w:sz w:val="24"/>
          <w:szCs w:val="24"/>
          <w:bdr w:val="none" w:sz="0" w:space="0" w:color="auto" w:frame="1"/>
          <w:shd w:val="clear" w:color="auto" w:fill="FFFFFF"/>
        </w:rPr>
        <w:t>Journal</w:t>
      </w:r>
      <w:proofErr w:type="gramEnd"/>
      <w:r w:rsidR="005133BE" w:rsidRPr="005133BE">
        <w:rPr>
          <w:rStyle w:val="apple-converted-space"/>
          <w:rFonts w:asciiTheme="minorHAnsi" w:hAnsiTheme="minorHAnsi" w:cstheme="minorHAnsi"/>
          <w:i/>
          <w:iCs/>
          <w:color w:val="3D3A37"/>
          <w:sz w:val="24"/>
          <w:szCs w:val="24"/>
          <w:bdr w:val="none" w:sz="0" w:space="0" w:color="auto" w:frame="1"/>
          <w:shd w:val="clear" w:color="auto" w:fill="FFFFFF"/>
        </w:rPr>
        <w:t xml:space="preserve"> </w:t>
      </w:r>
      <w:r w:rsidR="005133BE" w:rsidRPr="005133BE">
        <w:rPr>
          <w:rFonts w:asciiTheme="minorHAnsi" w:hAnsiTheme="minorHAnsi" w:cstheme="minorHAnsi"/>
          <w:color w:val="3D3A37"/>
          <w:sz w:val="24"/>
          <w:szCs w:val="24"/>
          <w:shd w:val="clear" w:color="auto" w:fill="FFFFFF"/>
        </w:rPr>
        <w:t xml:space="preserve">142, has been extensively discussed </w:t>
      </w:r>
      <w:r w:rsidRPr="005133BE">
        <w:rPr>
          <w:rFonts w:asciiTheme="minorHAnsi" w:hAnsiTheme="minorHAnsi" w:cstheme="minorHAnsi"/>
          <w:sz w:val="24"/>
          <w:szCs w:val="24"/>
        </w:rPr>
        <w:t xml:space="preserve">in the ALRC Report </w:t>
      </w:r>
      <w:r w:rsidR="005133BE">
        <w:rPr>
          <w:rFonts w:asciiTheme="minorHAnsi" w:hAnsiTheme="minorHAnsi" w:cstheme="minorHAnsi"/>
          <w:sz w:val="24"/>
          <w:szCs w:val="24"/>
        </w:rPr>
        <w:t xml:space="preserve">(DP 79) </w:t>
      </w:r>
      <w:r w:rsidR="005133BE" w:rsidRPr="005133BE">
        <w:rPr>
          <w:rFonts w:asciiTheme="minorHAnsi" w:hAnsiTheme="minorHAnsi" w:cstheme="minorHAnsi"/>
          <w:sz w:val="24"/>
          <w:szCs w:val="24"/>
        </w:rPr>
        <w:t>on</w:t>
      </w:r>
      <w:r w:rsidRPr="005133BE">
        <w:rPr>
          <w:rFonts w:asciiTheme="minorHAnsi" w:hAnsiTheme="minorHAnsi" w:cstheme="minorHAnsi"/>
          <w:sz w:val="24"/>
          <w:szCs w:val="24"/>
        </w:rPr>
        <w:t xml:space="preserve"> </w:t>
      </w:r>
      <w:r w:rsidRPr="005133BE">
        <w:rPr>
          <w:rFonts w:asciiTheme="minorHAnsi" w:hAnsiTheme="minorHAnsi" w:cstheme="minorHAnsi"/>
          <w:i/>
          <w:sz w:val="24"/>
          <w:szCs w:val="24"/>
        </w:rPr>
        <w:t>Copyright and the Digital Economy</w:t>
      </w:r>
      <w:r w:rsidRPr="005133BE">
        <w:rPr>
          <w:rFonts w:asciiTheme="minorHAnsi" w:hAnsiTheme="minorHAnsi" w:cstheme="minorHAnsi"/>
          <w:sz w:val="24"/>
          <w:szCs w:val="24"/>
        </w:rPr>
        <w:t>:</w:t>
      </w:r>
    </w:p>
    <w:p w:rsidR="008A5B26" w:rsidRPr="005133BE" w:rsidRDefault="002C190A" w:rsidP="008A5B26">
      <w:pPr>
        <w:pStyle w:val="BodyText"/>
        <w:rPr>
          <w:rFonts w:asciiTheme="minorHAnsi" w:hAnsiTheme="minorHAnsi" w:cstheme="minorHAnsi"/>
          <w:sz w:val="24"/>
          <w:szCs w:val="24"/>
        </w:rPr>
      </w:pPr>
      <w:hyperlink r:id="rId10" w:history="1">
        <w:r w:rsidR="008A5B26" w:rsidRPr="005133BE">
          <w:rPr>
            <w:rStyle w:val="Hyperlink"/>
            <w:rFonts w:asciiTheme="minorHAnsi" w:hAnsiTheme="minorHAnsi" w:cstheme="minorHAnsi"/>
            <w:sz w:val="24"/>
            <w:szCs w:val="24"/>
          </w:rPr>
          <w:t>http://www.alrc.gov.au/publications/copyright-and-digital-economy-dp-79/10-transformative-use-and-quotation</w:t>
        </w:r>
      </w:hyperlink>
    </w:p>
    <w:p w:rsidR="005133BE" w:rsidRPr="005133BE" w:rsidRDefault="005133BE" w:rsidP="008A5B26">
      <w:pPr>
        <w:pStyle w:val="BodyText"/>
        <w:rPr>
          <w:sz w:val="24"/>
          <w:szCs w:val="24"/>
        </w:rPr>
      </w:pPr>
      <w:r w:rsidRPr="005133BE">
        <w:rPr>
          <w:sz w:val="24"/>
          <w:szCs w:val="24"/>
        </w:rPr>
        <w:t>Chapter 10, Transformative Use and Quotation</w:t>
      </w:r>
      <w:r>
        <w:rPr>
          <w:sz w:val="24"/>
          <w:szCs w:val="24"/>
        </w:rPr>
        <w:t>:</w:t>
      </w:r>
      <w:r w:rsidRPr="005133BE">
        <w:rPr>
          <w:sz w:val="24"/>
          <w:szCs w:val="24"/>
        </w:rPr>
        <w:t xml:space="preserve"> [10.108] – [10.110]</w:t>
      </w:r>
    </w:p>
    <w:p w:rsidR="00976DBC" w:rsidRPr="003E0C95" w:rsidRDefault="00976DBC" w:rsidP="00976DBC">
      <w:pPr>
        <w:pStyle w:val="NormalWeb"/>
        <w:rPr>
          <w:rFonts w:asciiTheme="minorHAnsi" w:hAnsiTheme="minorHAnsi" w:cstheme="minorHAnsi"/>
          <w:color w:val="000000"/>
          <w:sz w:val="20"/>
          <w:szCs w:val="20"/>
        </w:rPr>
      </w:pPr>
    </w:p>
    <w:p w:rsidR="005133BE" w:rsidRDefault="00976DBC" w:rsidP="00976DBC">
      <w:pPr>
        <w:pStyle w:val="BodyText"/>
        <w:rPr>
          <w:rFonts w:asciiTheme="minorHAnsi" w:hAnsiTheme="minorHAnsi" w:cstheme="minorHAnsi"/>
          <w:sz w:val="20"/>
          <w:szCs w:val="20"/>
        </w:rPr>
      </w:pPr>
      <w:r w:rsidRPr="003E0C95">
        <w:rPr>
          <w:rFonts w:asciiTheme="minorHAnsi" w:hAnsiTheme="minorHAnsi" w:cstheme="minorHAnsi"/>
          <w:sz w:val="20"/>
          <w:szCs w:val="20"/>
        </w:rPr>
        <w:t> </w:t>
      </w:r>
    </w:p>
    <w:p w:rsidR="005133BE" w:rsidRDefault="005133BE" w:rsidP="00976DBC">
      <w:pPr>
        <w:pStyle w:val="BodyText"/>
        <w:rPr>
          <w:rFonts w:asciiTheme="minorHAnsi" w:hAnsiTheme="minorHAnsi" w:cstheme="minorHAnsi"/>
          <w:sz w:val="20"/>
          <w:szCs w:val="20"/>
        </w:rPr>
      </w:pPr>
    </w:p>
    <w:p w:rsidR="00976DBC" w:rsidRPr="003E0C95" w:rsidRDefault="00976DBC" w:rsidP="00976DBC">
      <w:pPr>
        <w:pStyle w:val="BodyText"/>
        <w:rPr>
          <w:rFonts w:asciiTheme="minorHAnsi" w:hAnsiTheme="minorHAnsi" w:cstheme="minorHAnsi"/>
          <w:b/>
          <w:color w:val="008000"/>
        </w:rPr>
      </w:pPr>
      <w:r w:rsidRPr="003E0C95">
        <w:rPr>
          <w:rFonts w:asciiTheme="minorHAnsi" w:hAnsiTheme="minorHAnsi" w:cstheme="minorHAnsi"/>
          <w:b/>
          <w:color w:val="008000"/>
          <w:sz w:val="28"/>
          <w:szCs w:val="28"/>
        </w:rPr>
        <w:lastRenderedPageBreak/>
        <w:t>LAW SCHOOL RESEARCH SEMINAR SCHEDULE</w:t>
      </w:r>
    </w:p>
    <w:p w:rsidR="00976DBC" w:rsidRPr="003E0C95" w:rsidRDefault="00976DBC" w:rsidP="00976DBC">
      <w:pPr>
        <w:keepNext/>
        <w:keepLines/>
        <w:numPr>
          <w:ilvl w:val="1"/>
          <w:numId w:val="1"/>
        </w:numPr>
        <w:spacing w:line="280" w:lineRule="atLeast"/>
        <w:outlineLvl w:val="1"/>
        <w:rPr>
          <w:rFonts w:asciiTheme="minorHAnsi" w:hAnsiTheme="minorHAnsi" w:cstheme="minorHAnsi"/>
          <w:color w:val="0070C0"/>
        </w:rPr>
      </w:pPr>
      <w:r w:rsidRPr="003E0C95">
        <w:rPr>
          <w:rFonts w:asciiTheme="minorHAnsi" w:eastAsiaTheme="majorEastAsia" w:hAnsiTheme="minorHAnsi" w:cstheme="minorHAnsi"/>
          <w:b/>
          <w:color w:val="0070C0"/>
          <w:szCs w:val="26"/>
          <w:lang w:val="en-AU"/>
        </w:rPr>
        <w:t>Trimester 2</w:t>
      </w:r>
    </w:p>
    <w:p w:rsidR="00976DBC" w:rsidRPr="003E0C95" w:rsidRDefault="00976DBC" w:rsidP="00976DBC">
      <w:pPr>
        <w:pStyle w:val="BodyText"/>
        <w:rPr>
          <w:rFonts w:asciiTheme="minorHAnsi" w:eastAsia="Times New Roman" w:hAnsiTheme="minorHAnsi" w:cstheme="minorHAnsi"/>
          <w:b/>
          <w:color w:val="7030A0"/>
        </w:rPr>
      </w:pPr>
      <w:r w:rsidRPr="003E0C95">
        <w:rPr>
          <w:rFonts w:asciiTheme="minorHAnsi" w:eastAsia="Times New Roman" w:hAnsiTheme="minorHAnsi" w:cstheme="minorHAnsi"/>
          <w:b/>
          <w:color w:val="7030A0"/>
        </w:rPr>
        <w:t>FRIDAY 27 SEPTEMBER</w:t>
      </w:r>
    </w:p>
    <w:p w:rsidR="00976DBC" w:rsidRPr="003E0C95" w:rsidRDefault="00976DBC" w:rsidP="00976DBC">
      <w:pPr>
        <w:pStyle w:val="BodyText"/>
        <w:rPr>
          <w:rFonts w:asciiTheme="minorHAnsi" w:eastAsia="Times New Roman" w:hAnsiTheme="minorHAnsi" w:cstheme="minorHAnsi"/>
          <w:b/>
          <w:color w:val="C00000"/>
        </w:rPr>
      </w:pPr>
      <w:r w:rsidRPr="003E0C95">
        <w:rPr>
          <w:rFonts w:asciiTheme="minorHAnsi" w:eastAsia="Times New Roman" w:hAnsiTheme="minorHAnsi" w:cstheme="minorHAnsi"/>
          <w:b/>
          <w:color w:val="C00000"/>
        </w:rPr>
        <w:t xml:space="preserve">Dr Andros </w:t>
      </w:r>
      <w:proofErr w:type="spellStart"/>
      <w:r w:rsidRPr="003E0C95">
        <w:rPr>
          <w:rFonts w:asciiTheme="minorHAnsi" w:eastAsia="Times New Roman" w:hAnsiTheme="minorHAnsi" w:cstheme="minorHAnsi"/>
          <w:b/>
          <w:color w:val="C00000"/>
        </w:rPr>
        <w:t>Kapardis</w:t>
      </w:r>
      <w:proofErr w:type="spellEnd"/>
    </w:p>
    <w:p w:rsidR="00976DBC" w:rsidRPr="003E0C95" w:rsidRDefault="00976DBC" w:rsidP="00976DBC">
      <w:pPr>
        <w:pStyle w:val="BodyText"/>
        <w:rPr>
          <w:rFonts w:asciiTheme="minorHAnsi" w:eastAsiaTheme="majorEastAsia" w:hAnsiTheme="minorHAnsi" w:cstheme="minorHAnsi"/>
          <w:b/>
          <w:bCs/>
          <w:color w:val="002060"/>
        </w:rPr>
      </w:pPr>
      <w:r w:rsidRPr="003E0C95">
        <w:rPr>
          <w:rFonts w:asciiTheme="minorHAnsi" w:eastAsia="Times New Roman" w:hAnsiTheme="minorHAnsi" w:cstheme="minorHAnsi"/>
          <w:color w:val="002060"/>
        </w:rPr>
        <w:t xml:space="preserve">Author of </w:t>
      </w:r>
      <w:r w:rsidRPr="003E0C95">
        <w:rPr>
          <w:rFonts w:asciiTheme="minorHAnsi" w:eastAsia="Times New Roman" w:hAnsiTheme="minorHAnsi" w:cstheme="minorHAnsi"/>
          <w:i/>
          <w:iCs/>
          <w:color w:val="002060"/>
        </w:rPr>
        <w:t>Psychology and the Criminal Law</w:t>
      </w:r>
      <w:r w:rsidRPr="003E0C95">
        <w:rPr>
          <w:rFonts w:asciiTheme="minorHAnsi" w:eastAsia="Times New Roman" w:hAnsiTheme="minorHAnsi" w:cstheme="minorHAnsi"/>
          <w:color w:val="002060"/>
        </w:rPr>
        <w:t xml:space="preserve"> (Cambridge University Press)</w:t>
      </w:r>
    </w:p>
    <w:p w:rsidR="00976DBC" w:rsidRPr="003E0C95" w:rsidRDefault="00976DBC" w:rsidP="00976DBC">
      <w:pPr>
        <w:keepLines/>
        <w:numPr>
          <w:ilvl w:val="0"/>
          <w:numId w:val="1"/>
        </w:numPr>
        <w:spacing w:before="40" w:after="120" w:line="280" w:lineRule="atLeast"/>
        <w:rPr>
          <w:rFonts w:asciiTheme="minorHAnsi" w:hAnsiTheme="minorHAnsi" w:cstheme="minorHAnsi"/>
          <w:b/>
          <w:color w:val="0070C0"/>
        </w:rPr>
      </w:pPr>
    </w:p>
    <w:p w:rsidR="00976DBC" w:rsidRPr="003E0C95" w:rsidRDefault="00976DBC" w:rsidP="00976DBC">
      <w:pPr>
        <w:keepLines/>
        <w:numPr>
          <w:ilvl w:val="0"/>
          <w:numId w:val="1"/>
        </w:numPr>
        <w:spacing w:before="40" w:after="120" w:line="280" w:lineRule="atLeast"/>
        <w:rPr>
          <w:rFonts w:asciiTheme="minorHAnsi" w:hAnsiTheme="minorHAnsi" w:cstheme="minorHAnsi"/>
          <w:b/>
          <w:color w:val="0070C0"/>
        </w:rPr>
      </w:pPr>
      <w:r w:rsidRPr="003E0C95">
        <w:rPr>
          <w:rFonts w:asciiTheme="minorHAnsi" w:hAnsiTheme="minorHAnsi" w:cstheme="minorHAnsi"/>
          <w:b/>
          <w:color w:val="0070C0"/>
        </w:rPr>
        <w:t>Trimester 3</w:t>
      </w:r>
    </w:p>
    <w:p w:rsidR="00976DBC" w:rsidRDefault="00976DBC" w:rsidP="00976DBC">
      <w:pPr>
        <w:keepLines/>
        <w:numPr>
          <w:ilvl w:val="0"/>
          <w:numId w:val="1"/>
        </w:numPr>
        <w:spacing w:before="40" w:after="120" w:line="280" w:lineRule="atLeast"/>
        <w:rPr>
          <w:rFonts w:asciiTheme="minorHAnsi" w:hAnsiTheme="minorHAnsi" w:cstheme="minorHAnsi"/>
          <w:b/>
          <w:color w:val="7030A0"/>
        </w:rPr>
      </w:pPr>
      <w:r w:rsidRPr="003E0C95">
        <w:rPr>
          <w:rFonts w:asciiTheme="minorHAnsi" w:eastAsia="Times New Roman" w:hAnsiTheme="minorHAnsi" w:cstheme="minorHAnsi"/>
          <w:b/>
          <w:color w:val="7030A0"/>
        </w:rPr>
        <w:t xml:space="preserve">FRIDAY </w:t>
      </w:r>
      <w:r>
        <w:rPr>
          <w:rFonts w:asciiTheme="minorHAnsi" w:eastAsia="Times New Roman" w:hAnsiTheme="minorHAnsi" w:cstheme="minorHAnsi"/>
          <w:b/>
          <w:color w:val="7030A0"/>
        </w:rPr>
        <w:t>15 or 22 NOVEMBER</w:t>
      </w:r>
    </w:p>
    <w:p w:rsidR="00976DBC" w:rsidRPr="003E0C95" w:rsidRDefault="00976DBC" w:rsidP="00976DBC">
      <w:pPr>
        <w:keepLines/>
        <w:numPr>
          <w:ilvl w:val="0"/>
          <w:numId w:val="1"/>
        </w:numPr>
        <w:spacing w:before="40" w:after="120" w:line="280" w:lineRule="atLeast"/>
        <w:rPr>
          <w:rFonts w:asciiTheme="minorHAnsi" w:hAnsiTheme="minorHAnsi" w:cstheme="minorHAnsi"/>
          <w:b/>
          <w:color w:val="C00000"/>
        </w:rPr>
      </w:pPr>
      <w:r w:rsidRPr="003E0C95">
        <w:rPr>
          <w:rFonts w:asciiTheme="minorHAnsi" w:hAnsiTheme="minorHAnsi" w:cstheme="minorHAnsi"/>
          <w:b/>
          <w:color w:val="C00000"/>
        </w:rPr>
        <w:t>Oscar Roos</w:t>
      </w:r>
    </w:p>
    <w:p w:rsidR="00976DBC" w:rsidRPr="003E0C95" w:rsidRDefault="00976DBC" w:rsidP="00976DBC">
      <w:pPr>
        <w:keepLines/>
        <w:numPr>
          <w:ilvl w:val="0"/>
          <w:numId w:val="1"/>
        </w:numPr>
        <w:spacing w:before="40" w:after="120" w:line="280" w:lineRule="atLeast"/>
        <w:rPr>
          <w:rFonts w:asciiTheme="minorHAnsi" w:hAnsiTheme="minorHAnsi" w:cstheme="minorHAnsi"/>
          <w:b/>
          <w:color w:val="0070C0"/>
          <w:sz w:val="22"/>
          <w:szCs w:val="22"/>
        </w:rPr>
      </w:pPr>
      <w:r w:rsidRPr="003E0C95">
        <w:rPr>
          <w:rFonts w:asciiTheme="minorHAnsi" w:hAnsiTheme="minorHAnsi" w:cstheme="minorHAnsi"/>
          <w:color w:val="002060"/>
          <w:sz w:val="22"/>
          <w:szCs w:val="22"/>
        </w:rPr>
        <w:t>'Section 73 of the Australian Constitution and Kirk v Industrial Court (NSW) [2010] HCA 1'.</w:t>
      </w:r>
    </w:p>
    <w:p w:rsidR="00976DBC" w:rsidRPr="003E0C95" w:rsidRDefault="00976DBC" w:rsidP="00976DBC">
      <w:pPr>
        <w:keepLines/>
        <w:numPr>
          <w:ilvl w:val="0"/>
          <w:numId w:val="1"/>
        </w:numPr>
        <w:spacing w:before="40" w:after="120" w:line="280" w:lineRule="atLeast"/>
        <w:rPr>
          <w:rFonts w:asciiTheme="minorHAnsi" w:hAnsiTheme="minorHAnsi" w:cstheme="minorHAnsi"/>
          <w:b/>
          <w:color w:val="7030A0"/>
        </w:rPr>
      </w:pPr>
      <w:r w:rsidRPr="003E0C95">
        <w:rPr>
          <w:rFonts w:asciiTheme="minorHAnsi" w:hAnsiTheme="minorHAnsi" w:cstheme="minorHAnsi"/>
          <w:b/>
          <w:color w:val="7030A0"/>
        </w:rPr>
        <w:t>FRIDAY, 13 DECEMBER</w:t>
      </w:r>
    </w:p>
    <w:p w:rsidR="00976DBC" w:rsidRPr="003E0C95" w:rsidRDefault="00976DBC" w:rsidP="00976DBC">
      <w:pPr>
        <w:keepLines/>
        <w:numPr>
          <w:ilvl w:val="0"/>
          <w:numId w:val="1"/>
        </w:numPr>
        <w:spacing w:before="40" w:after="120" w:line="280" w:lineRule="atLeast"/>
        <w:rPr>
          <w:rFonts w:asciiTheme="minorHAnsi" w:hAnsiTheme="minorHAnsi" w:cstheme="minorHAnsi"/>
          <w:b/>
          <w:color w:val="C00000"/>
        </w:rPr>
      </w:pPr>
      <w:r w:rsidRPr="003E0C95">
        <w:rPr>
          <w:rFonts w:asciiTheme="minorHAnsi" w:eastAsiaTheme="minorHAnsi" w:hAnsiTheme="minorHAnsi" w:cstheme="minorHAnsi"/>
          <w:b/>
          <w:bCs/>
          <w:color w:val="C00000"/>
        </w:rPr>
        <w:t xml:space="preserve">Giuseppe Carabetta </w:t>
      </w:r>
    </w:p>
    <w:p w:rsidR="00976DBC" w:rsidRPr="003E0C95" w:rsidRDefault="00976DBC" w:rsidP="00976DBC">
      <w:pPr>
        <w:keepLines/>
        <w:numPr>
          <w:ilvl w:val="0"/>
          <w:numId w:val="1"/>
        </w:numPr>
        <w:spacing w:before="40" w:after="120" w:line="280" w:lineRule="atLeast"/>
        <w:rPr>
          <w:rFonts w:asciiTheme="minorHAnsi" w:hAnsiTheme="minorHAnsi" w:cstheme="minorHAnsi"/>
          <w:color w:val="002060"/>
        </w:rPr>
      </w:pPr>
      <w:r w:rsidRPr="003E0C95">
        <w:rPr>
          <w:rFonts w:asciiTheme="minorHAnsi" w:eastAsiaTheme="minorHAnsi" w:hAnsiTheme="minorHAnsi" w:cstheme="minorHAnsi"/>
          <w:bCs/>
          <w:color w:val="002060"/>
        </w:rPr>
        <w:t xml:space="preserve">‘Police and Industrial Relations’ </w:t>
      </w:r>
    </w:p>
    <w:p w:rsidR="00976DBC" w:rsidRPr="003E0C95" w:rsidRDefault="00976DBC" w:rsidP="00976DBC">
      <w:pPr>
        <w:keepLines/>
        <w:numPr>
          <w:ilvl w:val="0"/>
          <w:numId w:val="1"/>
        </w:numPr>
        <w:spacing w:before="40" w:after="120" w:line="280" w:lineRule="atLeast"/>
        <w:rPr>
          <w:rFonts w:asciiTheme="minorHAnsi" w:hAnsiTheme="minorHAnsi" w:cstheme="minorHAnsi"/>
          <w:b/>
          <w:color w:val="002060"/>
        </w:rPr>
      </w:pPr>
      <w:r w:rsidRPr="003E0C95">
        <w:rPr>
          <w:rFonts w:asciiTheme="minorHAnsi" w:hAnsiTheme="minorHAnsi" w:cstheme="minorHAnsi"/>
          <w:b/>
          <w:color w:val="FF0000"/>
          <w:sz w:val="28"/>
          <w:szCs w:val="28"/>
        </w:rPr>
        <w:t xml:space="preserve">RESEARCH HUBS </w:t>
      </w:r>
    </w:p>
    <w:p w:rsidR="00976DBC" w:rsidRPr="003E0C95" w:rsidRDefault="00976DBC" w:rsidP="00976DBC">
      <w:pPr>
        <w:keepLines/>
        <w:numPr>
          <w:ilvl w:val="0"/>
          <w:numId w:val="1"/>
        </w:numPr>
        <w:spacing w:before="40" w:after="120" w:line="280" w:lineRule="atLeast"/>
        <w:rPr>
          <w:rFonts w:asciiTheme="minorHAnsi" w:hAnsiTheme="minorHAnsi" w:cstheme="minorHAnsi"/>
          <w:b/>
          <w:color w:val="002060"/>
          <w:sz w:val="28"/>
          <w:szCs w:val="28"/>
        </w:rPr>
      </w:pPr>
      <w:r w:rsidRPr="003E0C95">
        <w:rPr>
          <w:rFonts w:asciiTheme="minorHAnsi" w:hAnsiTheme="minorHAnsi" w:cstheme="minorHAnsi"/>
          <w:b/>
          <w:bCs/>
          <w:color w:val="6600CC"/>
          <w:sz w:val="28"/>
          <w:szCs w:val="28"/>
        </w:rPr>
        <w:t>Torts, Jurisprudence, Economics, etc Research Hub Meeting</w:t>
      </w:r>
    </w:p>
    <w:p w:rsidR="00976DBC" w:rsidRPr="003E0C95" w:rsidRDefault="00976DBC" w:rsidP="00976DBC">
      <w:pPr>
        <w:jc w:val="center"/>
        <w:rPr>
          <w:rFonts w:asciiTheme="minorHAnsi" w:hAnsiTheme="minorHAnsi" w:cstheme="minorHAnsi"/>
          <w:b/>
          <w:bCs/>
          <w:color w:val="6600CC"/>
          <w:sz w:val="22"/>
          <w:szCs w:val="22"/>
        </w:rPr>
      </w:pPr>
      <w:r w:rsidRPr="003E0C95">
        <w:rPr>
          <w:rFonts w:asciiTheme="minorHAnsi" w:hAnsiTheme="minorHAnsi" w:cstheme="minorHAnsi"/>
          <w:b/>
          <w:bCs/>
          <w:color w:val="6600CC"/>
          <w:sz w:val="22"/>
          <w:szCs w:val="22"/>
        </w:rPr>
        <w:t>Wednesday, 11 September 2013 at noon</w:t>
      </w:r>
    </w:p>
    <w:p w:rsidR="00976DBC" w:rsidRPr="003E0C95" w:rsidRDefault="00976DBC" w:rsidP="00976DBC">
      <w:pPr>
        <w:jc w:val="center"/>
        <w:rPr>
          <w:rFonts w:asciiTheme="minorHAnsi" w:hAnsiTheme="minorHAnsi" w:cstheme="minorHAnsi"/>
          <w:b/>
          <w:bCs/>
          <w:color w:val="6600CC"/>
          <w:sz w:val="22"/>
          <w:szCs w:val="22"/>
        </w:rPr>
      </w:pPr>
      <w:r w:rsidRPr="003E0C95">
        <w:rPr>
          <w:rFonts w:asciiTheme="minorHAnsi" w:hAnsiTheme="minorHAnsi" w:cstheme="minorHAnsi"/>
          <w:b/>
          <w:bCs/>
          <w:color w:val="C00000"/>
          <w:sz w:val="22"/>
          <w:szCs w:val="22"/>
        </w:rPr>
        <w:t xml:space="preserve">Dr Jason Taliadoros </w:t>
      </w:r>
      <w:r w:rsidRPr="003E0C95">
        <w:rPr>
          <w:rFonts w:asciiTheme="minorHAnsi" w:hAnsiTheme="minorHAnsi" w:cstheme="minorHAnsi"/>
          <w:b/>
          <w:bCs/>
          <w:color w:val="6600CC"/>
          <w:sz w:val="22"/>
          <w:szCs w:val="22"/>
        </w:rPr>
        <w:t>will present</w:t>
      </w:r>
    </w:p>
    <w:p w:rsidR="00976DBC" w:rsidRPr="003E0C95" w:rsidRDefault="00976DBC" w:rsidP="00976DBC">
      <w:pPr>
        <w:keepLines/>
        <w:numPr>
          <w:ilvl w:val="0"/>
          <w:numId w:val="1"/>
        </w:numPr>
        <w:spacing w:before="40" w:after="120" w:line="280" w:lineRule="atLeast"/>
        <w:rPr>
          <w:rFonts w:asciiTheme="minorHAnsi" w:hAnsiTheme="minorHAnsi" w:cstheme="minorHAnsi"/>
          <w:color w:val="002060"/>
          <w:sz w:val="22"/>
          <w:szCs w:val="22"/>
        </w:rPr>
      </w:pPr>
      <w:r w:rsidRPr="003E0C95">
        <w:rPr>
          <w:rFonts w:asciiTheme="minorHAnsi" w:hAnsiTheme="minorHAnsi" w:cstheme="minorHAnsi"/>
          <w:color w:val="1F497D"/>
          <w:sz w:val="22"/>
          <w:szCs w:val="22"/>
        </w:rPr>
        <w:t>It will be a work-in-progress paper in preparation for my poster presentation at the Australasian Compensation Health Research Forum, 10-11 October 2013, Sydney: ‘Eligibility for Lifetime Care and Support under the NDIS Act: Lessons from Accident Compensation Schemes in Victoria’.</w:t>
      </w:r>
    </w:p>
    <w:p w:rsidR="00976DBC" w:rsidRPr="003E0C95" w:rsidRDefault="00976DBC" w:rsidP="00976DBC">
      <w:pPr>
        <w:keepLines/>
        <w:numPr>
          <w:ilvl w:val="0"/>
          <w:numId w:val="1"/>
        </w:numPr>
        <w:spacing w:before="40" w:after="120" w:line="280" w:lineRule="atLeast"/>
        <w:rPr>
          <w:rFonts w:asciiTheme="minorHAnsi" w:hAnsiTheme="minorHAnsi" w:cstheme="minorHAnsi"/>
          <w:color w:val="002060"/>
          <w:sz w:val="22"/>
          <w:szCs w:val="22"/>
        </w:rPr>
      </w:pPr>
      <w:r w:rsidRPr="003E0C95">
        <w:rPr>
          <w:rFonts w:asciiTheme="minorHAnsi" w:hAnsiTheme="minorHAnsi" w:cstheme="minorHAnsi"/>
          <w:color w:val="1F497D"/>
          <w:sz w:val="22"/>
          <w:szCs w:val="22"/>
        </w:rPr>
        <w:t>Background: Chapter 3, Part 1 of the National Disability Insurance Scheme Act 2013 (Cth) (‘NDIS Act’) sets out the requirements for eligibility under that scheme for lifetime care and support. The key provision in this part is s 24, which sets out five cumulative criteria that a person must satisfy if they are to ‘meet the disability requirements’, and be entitled to access to a ‘participant’ plan under s 32.</w:t>
      </w:r>
      <w:r w:rsidRPr="003E0C95">
        <w:rPr>
          <w:rFonts w:asciiTheme="minorHAnsi" w:hAnsiTheme="minorHAnsi" w:cstheme="minorHAnsi"/>
          <w:color w:val="002060"/>
          <w:sz w:val="22"/>
          <w:szCs w:val="22"/>
        </w:rPr>
        <w:t xml:space="preserve"> </w:t>
      </w:r>
    </w:p>
    <w:p w:rsidR="00976DBC" w:rsidRPr="003E0C95" w:rsidRDefault="00976DBC" w:rsidP="00976DBC">
      <w:pPr>
        <w:keepLines/>
        <w:numPr>
          <w:ilvl w:val="0"/>
          <w:numId w:val="1"/>
        </w:numPr>
        <w:spacing w:before="40" w:after="120" w:line="280" w:lineRule="atLeast"/>
        <w:rPr>
          <w:rFonts w:asciiTheme="minorHAnsi" w:hAnsiTheme="minorHAnsi" w:cstheme="minorHAnsi"/>
          <w:color w:val="002060"/>
          <w:sz w:val="22"/>
          <w:szCs w:val="22"/>
        </w:rPr>
      </w:pPr>
      <w:r w:rsidRPr="003E0C95">
        <w:rPr>
          <w:rFonts w:asciiTheme="minorHAnsi" w:hAnsiTheme="minorHAnsi" w:cstheme="minorHAnsi"/>
          <w:color w:val="1F497D"/>
          <w:sz w:val="22"/>
          <w:szCs w:val="22"/>
        </w:rPr>
        <w:t>Objective: How similar are the five cumulative requirements of s 24 in their form and likely practical application to the ‘serious injury’ narrative tests that exist—exclusively among Australian jurisdictions—</w:t>
      </w:r>
      <w:proofErr w:type="spellStart"/>
      <w:r w:rsidRPr="003E0C95">
        <w:rPr>
          <w:rFonts w:asciiTheme="minorHAnsi" w:hAnsiTheme="minorHAnsi" w:cstheme="minorHAnsi"/>
          <w:color w:val="1F497D"/>
          <w:sz w:val="22"/>
          <w:szCs w:val="22"/>
        </w:rPr>
        <w:t>in s</w:t>
      </w:r>
      <w:proofErr w:type="spellEnd"/>
      <w:r w:rsidRPr="003E0C95">
        <w:rPr>
          <w:rFonts w:asciiTheme="minorHAnsi" w:hAnsiTheme="minorHAnsi" w:cstheme="minorHAnsi"/>
          <w:color w:val="1F497D"/>
          <w:sz w:val="22"/>
          <w:szCs w:val="22"/>
        </w:rPr>
        <w:t xml:space="preserve"> 134AB of the Accident Compensation Act 1985 (Vic) (‘AC Act’) and s 93 of the Transport Accident Act 1986 (Vic) (‘TA Act’)?</w:t>
      </w:r>
      <w:r w:rsidRPr="003E0C95">
        <w:rPr>
          <w:rFonts w:asciiTheme="minorHAnsi" w:hAnsiTheme="minorHAnsi" w:cstheme="minorHAnsi"/>
          <w:color w:val="002060"/>
          <w:sz w:val="22"/>
          <w:szCs w:val="22"/>
        </w:rPr>
        <w:t xml:space="preserve"> </w:t>
      </w:r>
    </w:p>
    <w:p w:rsidR="00976DBC" w:rsidRPr="003E0C95" w:rsidRDefault="00976DBC" w:rsidP="00976DBC">
      <w:pPr>
        <w:keepLines/>
        <w:numPr>
          <w:ilvl w:val="0"/>
          <w:numId w:val="1"/>
        </w:numPr>
        <w:spacing w:before="40" w:after="120" w:line="280" w:lineRule="atLeast"/>
        <w:rPr>
          <w:rFonts w:asciiTheme="minorHAnsi" w:hAnsiTheme="minorHAnsi" w:cstheme="minorHAnsi"/>
          <w:color w:val="002060"/>
          <w:sz w:val="22"/>
          <w:szCs w:val="22"/>
        </w:rPr>
      </w:pPr>
      <w:r w:rsidRPr="003E0C95">
        <w:rPr>
          <w:rFonts w:asciiTheme="minorHAnsi" w:hAnsiTheme="minorHAnsi" w:cstheme="minorHAnsi"/>
          <w:color w:val="1F497D"/>
          <w:sz w:val="22"/>
          <w:szCs w:val="22"/>
        </w:rPr>
        <w:t xml:space="preserve">Method: By examining the legislative provisions of s 24 of the NDIS Act, and comparing them to s 134AB of the AC Act and s 93 of the TA Act, in light of current case law, it is possible to determine if there is possible overlap in coverage for injured persons that satisfy the ‘serious injury’ requirements and the ‘disability requirements’. </w:t>
      </w:r>
    </w:p>
    <w:p w:rsidR="00976DBC" w:rsidRPr="003E0C95" w:rsidRDefault="00976DBC" w:rsidP="00976DBC">
      <w:pPr>
        <w:keepLines/>
        <w:numPr>
          <w:ilvl w:val="0"/>
          <w:numId w:val="1"/>
        </w:numPr>
        <w:spacing w:before="40" w:after="120" w:line="280" w:lineRule="atLeast"/>
        <w:rPr>
          <w:rFonts w:asciiTheme="minorHAnsi" w:hAnsiTheme="minorHAnsi" w:cstheme="minorHAnsi"/>
          <w:color w:val="002060"/>
          <w:sz w:val="22"/>
          <w:szCs w:val="22"/>
        </w:rPr>
      </w:pPr>
      <w:r w:rsidRPr="003E0C95">
        <w:rPr>
          <w:rFonts w:asciiTheme="minorHAnsi" w:hAnsiTheme="minorHAnsi" w:cstheme="minorHAnsi"/>
          <w:color w:val="1F497D"/>
          <w:sz w:val="22"/>
          <w:szCs w:val="22"/>
        </w:rPr>
        <w:lastRenderedPageBreak/>
        <w:t xml:space="preserve">Principal findings/Discussion: The potential for overlap between the NDIS and State accident compensation schemes is significant in two ways that I wish to discuss: first, it means that the provisions for loss-shifting between the two schemes will be activated, and so there is a need for this process to operate optimally on a practical as well as scheme-design level; second, the overlap between the conception of ‘disability’ under the NDIS Act and ‘impairment’ under the Victorian compensation schemes means that case-law and precedents from the latter will influence understandings of the former.   </w:t>
      </w:r>
    </w:p>
    <w:p w:rsidR="00976DBC" w:rsidRPr="003E0C95" w:rsidRDefault="00976DBC" w:rsidP="00976DBC">
      <w:pPr>
        <w:keepLines/>
        <w:numPr>
          <w:ilvl w:val="0"/>
          <w:numId w:val="1"/>
        </w:numPr>
        <w:spacing w:before="40" w:after="120" w:line="280" w:lineRule="atLeast"/>
        <w:rPr>
          <w:rFonts w:asciiTheme="minorHAnsi" w:hAnsiTheme="minorHAnsi" w:cstheme="minorHAnsi"/>
          <w:color w:val="002060"/>
          <w:sz w:val="22"/>
          <w:szCs w:val="22"/>
        </w:rPr>
      </w:pPr>
      <w:r w:rsidRPr="003E0C95">
        <w:rPr>
          <w:rFonts w:asciiTheme="minorHAnsi" w:hAnsiTheme="minorHAnsi" w:cstheme="minorHAnsi"/>
          <w:color w:val="1F497D"/>
          <w:sz w:val="22"/>
          <w:szCs w:val="22"/>
        </w:rPr>
        <w:t>Conclusion: There is a need for a study such as this to identify potential policy directions to determine the eligibility requirements for those with a disability seeking lifetime care and support.</w:t>
      </w:r>
      <w:r w:rsidRPr="003E0C95">
        <w:rPr>
          <w:rFonts w:asciiTheme="minorHAnsi" w:hAnsiTheme="minorHAnsi" w:cstheme="minorHAnsi"/>
          <w:color w:val="002060"/>
          <w:sz w:val="22"/>
          <w:szCs w:val="22"/>
        </w:rPr>
        <w:t xml:space="preserve"> </w:t>
      </w:r>
    </w:p>
    <w:p w:rsidR="00976DBC" w:rsidRDefault="00976DBC" w:rsidP="00976DBC">
      <w:pPr>
        <w:keepLines/>
        <w:numPr>
          <w:ilvl w:val="0"/>
          <w:numId w:val="1"/>
        </w:numPr>
        <w:spacing w:before="40" w:after="120" w:line="280" w:lineRule="atLeast"/>
        <w:rPr>
          <w:rFonts w:asciiTheme="minorHAnsi" w:hAnsiTheme="minorHAnsi" w:cstheme="minorHAnsi"/>
          <w:color w:val="002060"/>
          <w:sz w:val="22"/>
          <w:szCs w:val="22"/>
        </w:rPr>
      </w:pPr>
      <w:r w:rsidRPr="003E0C95">
        <w:rPr>
          <w:rFonts w:asciiTheme="minorHAnsi" w:hAnsiTheme="minorHAnsi" w:cstheme="minorHAnsi"/>
          <w:color w:val="1F497D"/>
          <w:sz w:val="22"/>
          <w:szCs w:val="22"/>
        </w:rPr>
        <w:t xml:space="preserve">The NDIS Act is available from </w:t>
      </w:r>
      <w:hyperlink r:id="rId11" w:history="1">
        <w:r w:rsidRPr="003E0C95">
          <w:rPr>
            <w:rStyle w:val="Hyperlink"/>
            <w:rFonts w:asciiTheme="minorHAnsi" w:hAnsiTheme="minorHAnsi" w:cstheme="minorHAnsi"/>
            <w:sz w:val="22"/>
            <w:szCs w:val="22"/>
          </w:rPr>
          <w:t>http://www.comlaw.gov.au/Browse/Results/ByTitle/Acts/Current/Na/0</w:t>
        </w:r>
      </w:hyperlink>
      <w:r w:rsidRPr="003E0C95">
        <w:rPr>
          <w:rFonts w:asciiTheme="minorHAnsi" w:hAnsiTheme="minorHAnsi" w:cstheme="minorHAnsi"/>
          <w:color w:val="1F497D"/>
          <w:sz w:val="22"/>
          <w:szCs w:val="22"/>
        </w:rPr>
        <w:t>.</w:t>
      </w:r>
      <w:r w:rsidRPr="003E0C95">
        <w:rPr>
          <w:rFonts w:asciiTheme="minorHAnsi" w:hAnsiTheme="minorHAnsi" w:cstheme="minorHAnsi"/>
          <w:color w:val="002060"/>
          <w:sz w:val="22"/>
          <w:szCs w:val="22"/>
        </w:rPr>
        <w:t xml:space="preserve"> </w:t>
      </w:r>
    </w:p>
    <w:p w:rsidR="005133BE" w:rsidRPr="005133BE" w:rsidRDefault="005133BE" w:rsidP="005133BE">
      <w:pPr>
        <w:keepLines/>
        <w:numPr>
          <w:ilvl w:val="0"/>
          <w:numId w:val="1"/>
        </w:numPr>
        <w:spacing w:before="40" w:after="120" w:line="280" w:lineRule="atLeast"/>
        <w:rPr>
          <w:rFonts w:asciiTheme="minorHAnsi" w:hAnsiTheme="minorHAnsi" w:cstheme="minorHAnsi"/>
          <w:b/>
          <w:color w:val="002060"/>
          <w:sz w:val="28"/>
          <w:szCs w:val="28"/>
        </w:rPr>
      </w:pPr>
    </w:p>
    <w:p w:rsidR="005133BE" w:rsidRPr="005133BE" w:rsidRDefault="005133BE" w:rsidP="005133BE">
      <w:pPr>
        <w:keepLines/>
        <w:numPr>
          <w:ilvl w:val="0"/>
          <w:numId w:val="1"/>
        </w:numPr>
        <w:spacing w:before="40" w:after="120" w:line="280" w:lineRule="atLeast"/>
        <w:rPr>
          <w:rFonts w:asciiTheme="minorHAnsi" w:hAnsiTheme="minorHAnsi" w:cstheme="minorHAnsi"/>
          <w:color w:val="008000"/>
        </w:rPr>
      </w:pPr>
      <w:r w:rsidRPr="005133BE">
        <w:rPr>
          <w:rFonts w:asciiTheme="minorHAnsi" w:hAnsiTheme="minorHAnsi" w:cstheme="minorHAnsi"/>
          <w:color w:val="008000"/>
        </w:rPr>
        <w:t>The next</w:t>
      </w:r>
      <w:r>
        <w:rPr>
          <w:rFonts w:asciiTheme="minorHAnsi" w:hAnsiTheme="minorHAnsi" w:cstheme="minorHAnsi"/>
          <w:color w:val="002060"/>
          <w:sz w:val="22"/>
          <w:szCs w:val="22"/>
        </w:rPr>
        <w:t xml:space="preserve"> </w:t>
      </w:r>
      <w:r w:rsidRPr="003E0C95">
        <w:rPr>
          <w:rFonts w:asciiTheme="minorHAnsi" w:hAnsiTheme="minorHAnsi" w:cstheme="minorHAnsi"/>
          <w:b/>
          <w:bCs/>
          <w:color w:val="6600CC"/>
          <w:sz w:val="28"/>
          <w:szCs w:val="28"/>
        </w:rPr>
        <w:t>Torts, Jurisprudence, Economics, etc Research Hub Meeting</w:t>
      </w:r>
      <w:r>
        <w:rPr>
          <w:rFonts w:asciiTheme="minorHAnsi" w:hAnsiTheme="minorHAnsi" w:cstheme="minorHAnsi"/>
          <w:b/>
          <w:bCs/>
          <w:color w:val="6600CC"/>
          <w:sz w:val="28"/>
          <w:szCs w:val="28"/>
        </w:rPr>
        <w:t xml:space="preserve"> </w:t>
      </w:r>
      <w:r w:rsidRPr="005133BE">
        <w:rPr>
          <w:rFonts w:asciiTheme="minorHAnsi" w:hAnsiTheme="minorHAnsi" w:cstheme="minorHAnsi"/>
          <w:bCs/>
          <w:color w:val="008000"/>
        </w:rPr>
        <w:t>will be scheduled for late October 2013</w:t>
      </w:r>
      <w:r>
        <w:rPr>
          <w:rFonts w:asciiTheme="minorHAnsi" w:hAnsiTheme="minorHAnsi" w:cstheme="minorHAnsi"/>
          <w:bCs/>
          <w:color w:val="008000"/>
        </w:rPr>
        <w:t xml:space="preserve"> with Michael D’Rosario presenting.</w:t>
      </w:r>
    </w:p>
    <w:p w:rsidR="006F2F26" w:rsidRDefault="006F2F26" w:rsidP="006F2F26">
      <w:pPr>
        <w:keepLines/>
        <w:spacing w:before="40" w:after="120" w:line="280" w:lineRule="atLeast"/>
        <w:rPr>
          <w:rFonts w:asciiTheme="minorHAnsi" w:hAnsiTheme="minorHAnsi" w:cstheme="minorHAnsi"/>
          <w:b/>
          <w:color w:val="FF0000"/>
          <w:sz w:val="28"/>
          <w:szCs w:val="28"/>
        </w:rPr>
      </w:pPr>
    </w:p>
    <w:p w:rsidR="006F2F26" w:rsidRPr="006F2F26" w:rsidRDefault="006F2F26" w:rsidP="006F2F26">
      <w:pPr>
        <w:pStyle w:val="Heading1"/>
        <w:rPr>
          <w:rFonts w:asciiTheme="minorHAnsi" w:eastAsiaTheme="minorEastAsia" w:hAnsiTheme="minorHAnsi" w:cstheme="minorHAnsi"/>
          <w:b/>
          <w:bCs w:val="0"/>
          <w:color w:val="FF0000"/>
          <w:spacing w:val="0"/>
          <w:sz w:val="28"/>
          <w:lang w:val="en-US"/>
        </w:rPr>
      </w:pPr>
      <w:r w:rsidRPr="006F2F26">
        <w:rPr>
          <w:rFonts w:asciiTheme="minorHAnsi" w:eastAsiaTheme="minorEastAsia" w:hAnsiTheme="minorHAnsi" w:cstheme="minorHAnsi"/>
          <w:b/>
          <w:bCs w:val="0"/>
          <w:color w:val="FF0000"/>
          <w:spacing w:val="0"/>
          <w:sz w:val="28"/>
          <w:lang w:val="en-US"/>
        </w:rPr>
        <w:lastRenderedPageBreak/>
        <w:t>RESEARCH APPLICATIONS DEADLINES</w:t>
      </w:r>
    </w:p>
    <w:p w:rsidR="006F2F26" w:rsidRPr="006F2F26" w:rsidRDefault="006F2F26" w:rsidP="006F2F26">
      <w:pPr>
        <w:pStyle w:val="Heading1"/>
        <w:rPr>
          <w:rFonts w:asciiTheme="minorHAnsi" w:eastAsiaTheme="minorEastAsia" w:hAnsiTheme="minorHAnsi" w:cstheme="minorHAnsi"/>
          <w:b/>
          <w:bCs w:val="0"/>
          <w:color w:val="7030A0"/>
          <w:spacing w:val="0"/>
          <w:sz w:val="22"/>
          <w:szCs w:val="22"/>
          <w:lang w:val="en-US"/>
        </w:rPr>
      </w:pPr>
      <w:r w:rsidRPr="006F2F26">
        <w:rPr>
          <w:rFonts w:asciiTheme="minorHAnsi" w:eastAsiaTheme="minorEastAsia" w:hAnsiTheme="minorHAnsi" w:cstheme="minorHAnsi"/>
          <w:b/>
          <w:bCs w:val="0"/>
          <w:color w:val="7030A0"/>
          <w:spacing w:val="0"/>
          <w:sz w:val="22"/>
          <w:szCs w:val="22"/>
          <w:lang w:val="en-US"/>
        </w:rPr>
        <w:t>Central Research Grant Round for 2014</w:t>
      </w:r>
    </w:p>
    <w:p w:rsidR="006F2F26" w:rsidRPr="006F2F26" w:rsidRDefault="006F2F26" w:rsidP="006F2F26">
      <w:pPr>
        <w:pStyle w:val="Heading1"/>
        <w:rPr>
          <w:rFonts w:asciiTheme="minorHAnsi" w:eastAsiaTheme="minorEastAsia" w:hAnsiTheme="minorHAnsi" w:cstheme="minorHAnsi"/>
          <w:bCs w:val="0"/>
          <w:color w:val="002060"/>
          <w:spacing w:val="0"/>
          <w:sz w:val="22"/>
          <w:szCs w:val="22"/>
          <w:lang w:val="en-US"/>
        </w:rPr>
      </w:pPr>
      <w:r w:rsidRPr="006F2F26">
        <w:rPr>
          <w:rFonts w:asciiTheme="minorHAnsi" w:eastAsiaTheme="minorEastAsia" w:hAnsiTheme="minorHAnsi" w:cstheme="minorHAnsi"/>
          <w:bCs w:val="0"/>
          <w:color w:val="002060"/>
          <w:spacing w:val="0"/>
          <w:sz w:val="22"/>
          <w:szCs w:val="22"/>
          <w:lang w:val="en-US"/>
        </w:rPr>
        <w:t xml:space="preserve">Friday 20 September – AHoSR to submit completed Assessment </w:t>
      </w:r>
      <w:proofErr w:type="spellStart"/>
      <w:r w:rsidRPr="006F2F26">
        <w:rPr>
          <w:rFonts w:asciiTheme="minorHAnsi" w:eastAsiaTheme="minorEastAsia" w:hAnsiTheme="minorHAnsi" w:cstheme="minorHAnsi"/>
          <w:bCs w:val="0"/>
          <w:color w:val="002060"/>
          <w:spacing w:val="0"/>
          <w:sz w:val="22"/>
          <w:szCs w:val="22"/>
          <w:lang w:val="en-US"/>
        </w:rPr>
        <w:t>Scoresheet</w:t>
      </w:r>
      <w:proofErr w:type="spellEnd"/>
      <w:r w:rsidRPr="006F2F26">
        <w:rPr>
          <w:rFonts w:asciiTheme="minorHAnsi" w:eastAsiaTheme="minorEastAsia" w:hAnsiTheme="minorHAnsi" w:cstheme="minorHAnsi"/>
          <w:bCs w:val="0"/>
          <w:color w:val="002060"/>
          <w:spacing w:val="0"/>
          <w:sz w:val="22"/>
          <w:szCs w:val="22"/>
          <w:lang w:val="en-US"/>
        </w:rPr>
        <w:t xml:space="preserve"> for CRGS applications to Aysun Alpyurek.</w:t>
      </w:r>
    </w:p>
    <w:p w:rsidR="006F2F26" w:rsidRPr="006F2F26" w:rsidRDefault="006F2F26" w:rsidP="006F2F26">
      <w:pPr>
        <w:pStyle w:val="Heading1"/>
        <w:rPr>
          <w:rFonts w:asciiTheme="minorHAnsi" w:eastAsiaTheme="minorEastAsia" w:hAnsiTheme="minorHAnsi" w:cstheme="minorHAnsi"/>
          <w:bCs w:val="0"/>
          <w:color w:val="002060"/>
          <w:spacing w:val="0"/>
          <w:sz w:val="22"/>
          <w:szCs w:val="22"/>
          <w:lang w:val="en-US"/>
        </w:rPr>
      </w:pPr>
      <w:proofErr w:type="gramStart"/>
      <w:r w:rsidRPr="006F2F26">
        <w:rPr>
          <w:rFonts w:asciiTheme="minorHAnsi" w:eastAsiaTheme="minorEastAsia" w:hAnsiTheme="minorHAnsi" w:cstheme="minorHAnsi"/>
          <w:bCs w:val="0"/>
          <w:color w:val="002060"/>
          <w:spacing w:val="0"/>
          <w:sz w:val="22"/>
          <w:szCs w:val="22"/>
          <w:lang w:val="en-US"/>
        </w:rPr>
        <w:t>Thursday 3 October – BL meeting to determine outcomes of the CRGS round for 2014.</w:t>
      </w:r>
      <w:proofErr w:type="gramEnd"/>
    </w:p>
    <w:p w:rsidR="006F2F26" w:rsidRPr="006F2F26" w:rsidRDefault="006F2F26" w:rsidP="006F2F26">
      <w:pPr>
        <w:pStyle w:val="Heading1"/>
        <w:rPr>
          <w:rFonts w:asciiTheme="minorHAnsi" w:eastAsiaTheme="minorEastAsia" w:hAnsiTheme="minorHAnsi" w:cstheme="minorHAnsi"/>
          <w:b/>
          <w:bCs w:val="0"/>
          <w:color w:val="C00000"/>
          <w:spacing w:val="0"/>
          <w:sz w:val="28"/>
          <w:lang w:val="en-US"/>
        </w:rPr>
      </w:pPr>
      <w:bookmarkStart w:id="0" w:name="_GoBack"/>
      <w:bookmarkEnd w:id="0"/>
      <w:r w:rsidRPr="006F2F26">
        <w:rPr>
          <w:rFonts w:asciiTheme="minorHAnsi" w:eastAsiaTheme="minorEastAsia" w:hAnsiTheme="minorHAnsi" w:cstheme="minorHAnsi"/>
          <w:b/>
          <w:bCs w:val="0"/>
          <w:color w:val="C00000"/>
          <w:spacing w:val="0"/>
          <w:sz w:val="28"/>
          <w:lang w:val="en-US"/>
        </w:rPr>
        <w:t>Academic Study Leave Round 2, for ASL in Tri 2, 2014</w:t>
      </w:r>
    </w:p>
    <w:p w:rsidR="006F2F26" w:rsidRPr="006F2F26" w:rsidRDefault="006F2F26" w:rsidP="006F2F26">
      <w:pPr>
        <w:pStyle w:val="Heading1"/>
        <w:rPr>
          <w:rFonts w:asciiTheme="minorHAnsi" w:eastAsiaTheme="minorEastAsia" w:hAnsiTheme="minorHAnsi" w:cstheme="minorHAnsi"/>
          <w:bCs w:val="0"/>
          <w:color w:val="002060"/>
          <w:spacing w:val="0"/>
          <w:sz w:val="22"/>
          <w:szCs w:val="22"/>
          <w:lang w:val="en-US"/>
        </w:rPr>
      </w:pPr>
      <w:r w:rsidRPr="006F2F26">
        <w:rPr>
          <w:rFonts w:asciiTheme="minorHAnsi" w:eastAsiaTheme="minorEastAsia" w:hAnsiTheme="minorHAnsi" w:cstheme="minorHAnsi"/>
          <w:bCs w:val="0"/>
          <w:color w:val="002060"/>
          <w:spacing w:val="0"/>
          <w:sz w:val="22"/>
          <w:szCs w:val="22"/>
          <w:lang w:val="en-US"/>
        </w:rPr>
        <w:t xml:space="preserve">Friday 20 September – deadline for </w:t>
      </w:r>
      <w:proofErr w:type="spellStart"/>
      <w:r w:rsidRPr="006F2F26">
        <w:rPr>
          <w:rFonts w:asciiTheme="minorHAnsi" w:eastAsiaTheme="minorEastAsia" w:hAnsiTheme="minorHAnsi" w:cstheme="minorHAnsi"/>
          <w:bCs w:val="0"/>
          <w:color w:val="002060"/>
          <w:spacing w:val="0"/>
          <w:sz w:val="22"/>
          <w:szCs w:val="22"/>
          <w:lang w:val="en-US"/>
        </w:rPr>
        <w:t>HoS</w:t>
      </w:r>
      <w:proofErr w:type="spellEnd"/>
      <w:r w:rsidRPr="006F2F26">
        <w:rPr>
          <w:rFonts w:asciiTheme="minorHAnsi" w:eastAsiaTheme="minorEastAsia" w:hAnsiTheme="minorHAnsi" w:cstheme="minorHAnsi"/>
          <w:bCs w:val="0"/>
          <w:color w:val="002060"/>
          <w:spacing w:val="0"/>
          <w:sz w:val="22"/>
          <w:szCs w:val="22"/>
          <w:lang w:val="en-US"/>
        </w:rPr>
        <w:t xml:space="preserve"> to submit full completed applications for ASL, with accompanying Head of School Recommendation form, to Bron Kelly for Faculty ASL Committee.</w:t>
      </w:r>
    </w:p>
    <w:p w:rsidR="006F2F26" w:rsidRPr="006F2F26" w:rsidRDefault="006F2F26" w:rsidP="006F2F26">
      <w:pPr>
        <w:pStyle w:val="Heading1"/>
        <w:rPr>
          <w:rFonts w:asciiTheme="minorHAnsi" w:eastAsiaTheme="minorEastAsia" w:hAnsiTheme="minorHAnsi" w:cstheme="minorHAnsi"/>
          <w:bCs w:val="0"/>
          <w:color w:val="002060"/>
          <w:spacing w:val="0"/>
          <w:sz w:val="22"/>
          <w:szCs w:val="22"/>
          <w:lang w:val="en-US"/>
        </w:rPr>
      </w:pPr>
      <w:proofErr w:type="gramStart"/>
      <w:r w:rsidRPr="006F2F26">
        <w:rPr>
          <w:rFonts w:asciiTheme="minorHAnsi" w:eastAsiaTheme="minorEastAsia" w:hAnsiTheme="minorHAnsi" w:cstheme="minorHAnsi"/>
          <w:bCs w:val="0"/>
          <w:color w:val="002060"/>
          <w:spacing w:val="0"/>
          <w:sz w:val="22"/>
          <w:szCs w:val="22"/>
          <w:lang w:val="en-US"/>
        </w:rPr>
        <w:t>Monday 30 September – meeting of Faculty ASL Committee to determine recommendations for ASL to be forwarded to the University ASL Committee.</w:t>
      </w:r>
      <w:proofErr w:type="gramEnd"/>
    </w:p>
    <w:p w:rsidR="006F2F26" w:rsidRPr="006F2F26" w:rsidRDefault="006F2F26" w:rsidP="006F2F26">
      <w:pPr>
        <w:pStyle w:val="Heading1"/>
        <w:rPr>
          <w:rFonts w:asciiTheme="minorHAnsi" w:eastAsiaTheme="minorEastAsia" w:hAnsiTheme="minorHAnsi" w:cstheme="minorHAnsi"/>
          <w:b/>
          <w:bCs w:val="0"/>
          <w:color w:val="7030A0"/>
          <w:spacing w:val="0"/>
          <w:sz w:val="22"/>
          <w:szCs w:val="22"/>
          <w:lang w:val="en-US"/>
        </w:rPr>
      </w:pPr>
      <w:r w:rsidRPr="006F2F26">
        <w:rPr>
          <w:rFonts w:asciiTheme="minorHAnsi" w:eastAsiaTheme="minorEastAsia" w:hAnsiTheme="minorHAnsi" w:cstheme="minorHAnsi"/>
          <w:b/>
          <w:bCs w:val="0"/>
          <w:color w:val="7030A0"/>
          <w:spacing w:val="0"/>
          <w:sz w:val="22"/>
          <w:szCs w:val="22"/>
          <w:lang w:val="en-US"/>
        </w:rPr>
        <w:t>ARC DECRA Nominations for 2015</w:t>
      </w:r>
    </w:p>
    <w:p w:rsidR="006F2F26" w:rsidRPr="006F2F26" w:rsidRDefault="006F2F26" w:rsidP="006F2F26">
      <w:pPr>
        <w:pStyle w:val="Heading1"/>
        <w:rPr>
          <w:rFonts w:asciiTheme="minorHAnsi" w:eastAsiaTheme="minorEastAsia" w:hAnsiTheme="minorHAnsi" w:cstheme="minorHAnsi"/>
          <w:bCs w:val="0"/>
          <w:color w:val="002060"/>
          <w:spacing w:val="0"/>
          <w:sz w:val="22"/>
          <w:szCs w:val="22"/>
          <w:lang w:val="en-US"/>
        </w:rPr>
      </w:pPr>
      <w:r w:rsidRPr="006F2F26">
        <w:rPr>
          <w:rFonts w:asciiTheme="minorHAnsi" w:eastAsiaTheme="minorEastAsia" w:hAnsiTheme="minorHAnsi" w:cstheme="minorHAnsi"/>
          <w:bCs w:val="0"/>
          <w:color w:val="002060"/>
          <w:spacing w:val="0"/>
          <w:sz w:val="22"/>
          <w:szCs w:val="22"/>
          <w:lang w:val="en-US"/>
        </w:rPr>
        <w:t xml:space="preserve">Wednesday 18 September – Potential applicants to submit their nomination forms to Aysun Alpyurek by 5pm. </w:t>
      </w:r>
    </w:p>
    <w:p w:rsidR="006F2F26" w:rsidRPr="006F2F26" w:rsidRDefault="006F2F26" w:rsidP="006F2F26">
      <w:pPr>
        <w:pStyle w:val="Heading1"/>
        <w:rPr>
          <w:rFonts w:asciiTheme="minorHAnsi" w:eastAsiaTheme="minorEastAsia" w:hAnsiTheme="minorHAnsi" w:cstheme="minorHAnsi"/>
          <w:b/>
          <w:bCs w:val="0"/>
          <w:color w:val="7030A0"/>
          <w:spacing w:val="0"/>
          <w:sz w:val="22"/>
          <w:szCs w:val="22"/>
          <w:lang w:val="en-US"/>
        </w:rPr>
      </w:pPr>
      <w:r w:rsidRPr="006F2F26">
        <w:rPr>
          <w:rFonts w:asciiTheme="minorHAnsi" w:eastAsiaTheme="minorEastAsia" w:hAnsiTheme="minorHAnsi" w:cstheme="minorHAnsi"/>
          <w:b/>
          <w:bCs w:val="0"/>
          <w:color w:val="7030A0"/>
          <w:spacing w:val="0"/>
          <w:sz w:val="22"/>
          <w:szCs w:val="22"/>
          <w:lang w:val="en-US"/>
        </w:rPr>
        <w:t>ARC Discovery Projects for 2015 and ARC Discovery Indigenous for 2015</w:t>
      </w:r>
    </w:p>
    <w:p w:rsidR="006F2F26" w:rsidRPr="003E0C95" w:rsidRDefault="006F2F26" w:rsidP="006F2F26">
      <w:pPr>
        <w:pStyle w:val="Heading1"/>
        <w:rPr>
          <w:rFonts w:asciiTheme="minorHAnsi" w:hAnsiTheme="minorHAnsi" w:cstheme="minorHAnsi"/>
          <w:color w:val="002060"/>
          <w:sz w:val="22"/>
          <w:szCs w:val="22"/>
        </w:rPr>
      </w:pPr>
      <w:proofErr w:type="gramStart"/>
      <w:r w:rsidRPr="006F2F26">
        <w:rPr>
          <w:rFonts w:asciiTheme="minorHAnsi" w:eastAsiaTheme="minorEastAsia" w:hAnsiTheme="minorHAnsi" w:cstheme="minorHAnsi"/>
          <w:bCs w:val="0"/>
          <w:color w:val="002060"/>
          <w:spacing w:val="0"/>
          <w:sz w:val="22"/>
          <w:szCs w:val="22"/>
          <w:lang w:val="en-US"/>
        </w:rPr>
        <w:t>Monday 30 September – NOIS due at Deakin Research.</w:t>
      </w:r>
      <w:proofErr w:type="gramEnd"/>
      <w:r w:rsidRPr="006F2F26">
        <w:rPr>
          <w:rFonts w:asciiTheme="minorHAnsi" w:eastAsiaTheme="minorEastAsia" w:hAnsiTheme="minorHAnsi" w:cstheme="minorHAnsi"/>
          <w:bCs w:val="0"/>
          <w:color w:val="002060"/>
          <w:spacing w:val="0"/>
          <w:sz w:val="22"/>
          <w:szCs w:val="22"/>
          <w:lang w:val="en-US"/>
        </w:rPr>
        <w:t xml:space="preserve">  Note: NOIS for nationally competitive grants submitted via Deakin are now mandatory.  Exceptions apply for new staff members – see Aysun Alpyurek for details.</w:t>
      </w:r>
    </w:p>
    <w:p w:rsidR="00976DBC" w:rsidRPr="003E0C95" w:rsidRDefault="00976DBC" w:rsidP="00976DBC">
      <w:pPr>
        <w:keepNext/>
        <w:keepLines/>
        <w:numPr>
          <w:ilvl w:val="1"/>
          <w:numId w:val="1"/>
        </w:numPr>
        <w:spacing w:before="320" w:line="280" w:lineRule="atLeast"/>
        <w:outlineLvl w:val="1"/>
        <w:rPr>
          <w:rFonts w:asciiTheme="minorHAnsi" w:eastAsiaTheme="majorEastAsia" w:hAnsiTheme="minorHAnsi" w:cstheme="minorHAnsi"/>
          <w:b/>
          <w:color w:val="FF0000"/>
          <w:sz w:val="28"/>
          <w:szCs w:val="28"/>
          <w:lang w:val="en-AU"/>
        </w:rPr>
      </w:pPr>
      <w:r w:rsidRPr="003E0C95">
        <w:rPr>
          <w:rFonts w:asciiTheme="minorHAnsi" w:eastAsiaTheme="majorEastAsia" w:hAnsiTheme="minorHAnsi" w:cstheme="minorHAnsi"/>
          <w:b/>
          <w:color w:val="FF0000"/>
          <w:sz w:val="28"/>
          <w:szCs w:val="28"/>
          <w:lang w:val="en-AU"/>
        </w:rPr>
        <w:t>FORTHCOMING CONFERENCES</w:t>
      </w:r>
    </w:p>
    <w:p w:rsidR="00976DBC" w:rsidRPr="003E0C95" w:rsidRDefault="00976DBC" w:rsidP="00976DBC">
      <w:pPr>
        <w:keepLines/>
        <w:numPr>
          <w:ilvl w:val="0"/>
          <w:numId w:val="1"/>
        </w:numPr>
        <w:spacing w:before="40" w:after="120" w:line="280" w:lineRule="atLeast"/>
        <w:rPr>
          <w:rFonts w:asciiTheme="minorHAnsi" w:eastAsiaTheme="minorHAnsi" w:hAnsiTheme="minorHAnsi" w:cstheme="minorHAnsi"/>
          <w:b/>
          <w:bCs/>
          <w:color w:val="7030A0"/>
          <w:lang w:val="en-AU"/>
        </w:rPr>
      </w:pPr>
      <w:r w:rsidRPr="003E0C95">
        <w:rPr>
          <w:rFonts w:asciiTheme="minorHAnsi" w:hAnsiTheme="minorHAnsi" w:cstheme="minorHAnsi"/>
          <w:b/>
          <w:bCs/>
          <w:color w:val="7030A0"/>
        </w:rPr>
        <w:t>The Promised Land: The Future of Coal Seam Gas Regulation in Victoria.</w:t>
      </w:r>
    </w:p>
    <w:p w:rsidR="00976DBC" w:rsidRPr="003E0C95" w:rsidRDefault="00976DBC" w:rsidP="00976DBC">
      <w:pPr>
        <w:keepLines/>
        <w:numPr>
          <w:ilvl w:val="0"/>
          <w:numId w:val="1"/>
        </w:numPr>
        <w:spacing w:before="40" w:after="120" w:line="280" w:lineRule="atLeast"/>
        <w:rPr>
          <w:rFonts w:asciiTheme="minorHAnsi" w:hAnsiTheme="minorHAnsi" w:cstheme="minorHAnsi"/>
          <w:color w:val="002060"/>
        </w:rPr>
      </w:pPr>
      <w:r w:rsidRPr="003E0C95">
        <w:rPr>
          <w:rFonts w:asciiTheme="minorHAnsi" w:eastAsiaTheme="minorHAnsi" w:hAnsiTheme="minorHAnsi" w:cstheme="minorHAnsi"/>
          <w:b/>
          <w:bCs/>
          <w:color w:val="7030A0"/>
          <w:lang w:val="en-AU"/>
        </w:rPr>
        <w:t>November 2013, 8.30 am-5.45 pm</w:t>
      </w:r>
    </w:p>
    <w:p w:rsidR="00976DBC" w:rsidRPr="003E0C95" w:rsidRDefault="00976DBC" w:rsidP="00976DBC">
      <w:pPr>
        <w:keepLines/>
        <w:numPr>
          <w:ilvl w:val="0"/>
          <w:numId w:val="1"/>
        </w:numPr>
        <w:spacing w:before="40" w:after="120" w:line="280" w:lineRule="atLeast"/>
        <w:rPr>
          <w:rFonts w:asciiTheme="minorHAnsi" w:hAnsiTheme="minorHAnsi" w:cstheme="minorHAnsi"/>
          <w:color w:val="002060"/>
        </w:rPr>
      </w:pPr>
      <w:r w:rsidRPr="003E0C95">
        <w:rPr>
          <w:rFonts w:asciiTheme="minorHAnsi" w:eastAsiaTheme="minorHAnsi" w:hAnsiTheme="minorHAnsi" w:cstheme="minorHAnsi"/>
          <w:b/>
          <w:bCs/>
          <w:color w:val="7030A0"/>
          <w:lang w:val="en-AU"/>
        </w:rPr>
        <w:t>Victoria Suites, Sofitel on Collins, Melbourne</w:t>
      </w:r>
    </w:p>
    <w:p w:rsidR="00976DBC" w:rsidRPr="005133BE" w:rsidRDefault="00976DBC" w:rsidP="00976DBC">
      <w:pPr>
        <w:keepLines/>
        <w:numPr>
          <w:ilvl w:val="0"/>
          <w:numId w:val="1"/>
        </w:numPr>
        <w:spacing w:before="40" w:after="120" w:line="280" w:lineRule="atLeast"/>
        <w:rPr>
          <w:rFonts w:asciiTheme="minorHAnsi" w:hAnsiTheme="minorHAnsi" w:cstheme="minorHAnsi"/>
          <w:color w:val="002060"/>
          <w:sz w:val="22"/>
          <w:szCs w:val="22"/>
        </w:rPr>
      </w:pPr>
      <w:r w:rsidRPr="005133BE">
        <w:rPr>
          <w:rFonts w:asciiTheme="minorHAnsi" w:hAnsiTheme="minorHAnsi" w:cstheme="minorHAnsi"/>
          <w:color w:val="000000"/>
          <w:sz w:val="22"/>
          <w:szCs w:val="22"/>
        </w:rPr>
        <w:lastRenderedPageBreak/>
        <w:t xml:space="preserve">The conference will examine how a future regulatory framework for unconventional gas might evolve in Victoria. </w:t>
      </w:r>
      <w:r w:rsidRPr="005133BE">
        <w:rPr>
          <w:rFonts w:asciiTheme="minorHAnsi" w:hAnsiTheme="minorHAnsi" w:cstheme="minorHAnsi"/>
          <w:b/>
          <w:color w:val="C00000"/>
          <w:sz w:val="22"/>
          <w:szCs w:val="22"/>
        </w:rPr>
        <w:t>Samantha Hepburn</w:t>
      </w:r>
      <w:r w:rsidRPr="005133BE">
        <w:rPr>
          <w:rFonts w:asciiTheme="minorHAnsi" w:hAnsiTheme="minorHAnsi" w:cstheme="minorHAnsi"/>
          <w:color w:val="C00000"/>
          <w:sz w:val="22"/>
          <w:szCs w:val="22"/>
        </w:rPr>
        <w:t xml:space="preserve"> </w:t>
      </w:r>
      <w:r w:rsidRPr="005133BE">
        <w:rPr>
          <w:rFonts w:asciiTheme="minorHAnsi" w:hAnsiTheme="minorHAnsi" w:cstheme="minorHAnsi"/>
          <w:color w:val="000000"/>
          <w:sz w:val="22"/>
          <w:szCs w:val="22"/>
        </w:rPr>
        <w:t xml:space="preserve">and </w:t>
      </w:r>
      <w:r w:rsidRPr="005133BE">
        <w:rPr>
          <w:rFonts w:asciiTheme="minorHAnsi" w:hAnsiTheme="minorHAnsi" w:cstheme="minorHAnsi"/>
          <w:b/>
          <w:color w:val="C00000"/>
          <w:sz w:val="22"/>
          <w:szCs w:val="22"/>
        </w:rPr>
        <w:t>Lidia Xynas</w:t>
      </w:r>
      <w:r w:rsidRPr="005133BE">
        <w:rPr>
          <w:rFonts w:asciiTheme="minorHAnsi" w:hAnsiTheme="minorHAnsi" w:cstheme="minorHAnsi"/>
          <w:color w:val="C00000"/>
          <w:sz w:val="22"/>
          <w:szCs w:val="22"/>
        </w:rPr>
        <w:t xml:space="preserve"> </w:t>
      </w:r>
      <w:r w:rsidRPr="005133BE">
        <w:rPr>
          <w:rFonts w:asciiTheme="minorHAnsi" w:hAnsiTheme="minorHAnsi" w:cstheme="minorHAnsi"/>
          <w:color w:val="000000"/>
          <w:sz w:val="22"/>
          <w:szCs w:val="22"/>
        </w:rPr>
        <w:t xml:space="preserve">have invited a number of high profile industry, government, science and agricultural stakeholders to discuss and evaluate the myriad of regulatory issues that are relevant to developing this industry. </w:t>
      </w:r>
    </w:p>
    <w:p w:rsidR="00976DBC" w:rsidRPr="005133BE" w:rsidRDefault="00976DBC" w:rsidP="00976DBC">
      <w:pPr>
        <w:keepLines/>
        <w:numPr>
          <w:ilvl w:val="0"/>
          <w:numId w:val="1"/>
        </w:numPr>
        <w:spacing w:before="40" w:after="120" w:line="280" w:lineRule="atLeast"/>
        <w:rPr>
          <w:rFonts w:asciiTheme="minorHAnsi" w:hAnsiTheme="minorHAnsi" w:cstheme="minorHAnsi"/>
          <w:color w:val="002060"/>
          <w:sz w:val="22"/>
          <w:szCs w:val="22"/>
        </w:rPr>
      </w:pPr>
      <w:r w:rsidRPr="005133BE">
        <w:rPr>
          <w:rFonts w:asciiTheme="minorHAnsi" w:hAnsiTheme="minorHAnsi" w:cstheme="minorHAnsi"/>
          <w:color w:val="000000"/>
          <w:sz w:val="22"/>
          <w:szCs w:val="22"/>
        </w:rPr>
        <w:t>See attached flyer</w:t>
      </w:r>
    </w:p>
    <w:sectPr w:rsidR="00976DBC" w:rsidRPr="005133BE" w:rsidSect="00DF604B">
      <w:headerReference w:type="default" r:id="rId12"/>
      <w:footerReference w:type="default" r:id="rId13"/>
      <w:headerReference w:type="first" r:id="rId14"/>
      <w:footerReference w:type="first" r:id="rId15"/>
      <w:pgSz w:w="11906" w:h="16838" w:code="9"/>
      <w:pgMar w:top="425" w:right="1440" w:bottom="567" w:left="567" w:header="39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90A" w:rsidRDefault="002C190A">
      <w:r>
        <w:separator/>
      </w:r>
    </w:p>
  </w:endnote>
  <w:endnote w:type="continuationSeparator" w:id="0">
    <w:p w:rsidR="002C190A" w:rsidRDefault="002C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Pr="007C0F1B" w:rsidRDefault="00976DBC" w:rsidP="00E946E5">
    <w:pPr>
      <w:pStyle w:val="NormalBase"/>
    </w:pPr>
    <w:r>
      <w:rPr>
        <w:rFonts w:eastAsia="Times New Roman"/>
        <w:noProof/>
        <w:lang w:eastAsia="en-AU"/>
      </w:rPr>
      <w:drawing>
        <wp:anchor distT="0" distB="0" distL="114300" distR="114300" simplePos="0" relativeHeight="251663360" behindDoc="1" locked="1" layoutInCell="1" allowOverlap="1" wp14:anchorId="00EF1CEF" wp14:editId="7035ABA7">
          <wp:simplePos x="0" y="0"/>
          <wp:positionH relativeFrom="page">
            <wp:posOffset>248285</wp:posOffset>
          </wp:positionH>
          <wp:positionV relativeFrom="page">
            <wp:posOffset>9764395</wp:posOffset>
          </wp:positionV>
          <wp:extent cx="7088400" cy="712800"/>
          <wp:effectExtent l="0" t="0" r="0" b="0"/>
          <wp:wrapNone/>
          <wp:docPr id="5" name="Picture 8"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1"/>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2336" behindDoc="0" locked="1" layoutInCell="1" allowOverlap="1" wp14:anchorId="560713AA" wp14:editId="688A38A6">
              <wp:simplePos x="0" y="0"/>
              <wp:positionH relativeFrom="page">
                <wp:posOffset>245110</wp:posOffset>
              </wp:positionH>
              <wp:positionV relativeFrom="page">
                <wp:posOffset>9753600</wp:posOffset>
              </wp:positionV>
              <wp:extent cx="7099200" cy="7236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438" w:rsidRPr="00793852" w:rsidRDefault="00976DBC" w:rsidP="00E946E5">
                          <w:pPr>
                            <w:pStyle w:val="FooterReport"/>
                          </w:pPr>
                          <w:r w:rsidRPr="00793852">
                            <w:t xml:space="preserve">School of </w:t>
                          </w:r>
                          <w:r>
                            <w:t>Law</w:t>
                          </w:r>
                          <w:r w:rsidRPr="00793852">
                            <w:t xml:space="preserve"> </w:t>
                          </w:r>
                        </w:p>
                        <w:p w:rsidR="00736438" w:rsidRDefault="00976DBC" w:rsidP="00E946E5">
                          <w:pPr>
                            <w:pStyle w:val="FooterReport"/>
                          </w:pPr>
                          <w:r w:rsidRPr="00793852">
                            <w:t xml:space="preserve">Faculty of </w:t>
                          </w:r>
                          <w:r>
                            <w:t>Business and Law</w:t>
                          </w:r>
                        </w:p>
                        <w:p w:rsidR="00736438" w:rsidRPr="00793852" w:rsidRDefault="00976DBC" w:rsidP="00E946E5">
                          <w:pPr>
                            <w:pStyle w:val="FooterReport"/>
                          </w:pPr>
                          <w:r w:rsidRPr="00793852">
                            <w:t>Melbourne Burwood Campus, 221 Burwood Highway, Burwood, VIC 3125</w:t>
                          </w:r>
                        </w:p>
                        <w:p w:rsidR="00736438" w:rsidRPr="00793852" w:rsidRDefault="00976DBC" w:rsidP="00E946E5">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2C190A" w:rsidP="00E94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3pt;margin-top:768pt;width:559pt;height: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wsg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" filled="f" stroked="f">
              <v:textbox>
                <w:txbxContent>
                  <w:p w:rsidR="00736438" w:rsidRPr="00793852" w:rsidRDefault="00976DBC" w:rsidP="00E946E5">
                    <w:pPr>
                      <w:pStyle w:val="FooterReport"/>
                    </w:pPr>
                    <w:r w:rsidRPr="00793852">
                      <w:t xml:space="preserve">School of </w:t>
                    </w:r>
                    <w:r>
                      <w:t>Law</w:t>
                    </w:r>
                    <w:r w:rsidRPr="00793852">
                      <w:t xml:space="preserve"> </w:t>
                    </w:r>
                  </w:p>
                  <w:p w:rsidR="00736438" w:rsidRDefault="00976DBC" w:rsidP="00E946E5">
                    <w:pPr>
                      <w:pStyle w:val="FooterReport"/>
                    </w:pPr>
                    <w:r w:rsidRPr="00793852">
                      <w:t xml:space="preserve">Faculty of </w:t>
                    </w:r>
                    <w:r>
                      <w:t>Business and Law</w:t>
                    </w:r>
                  </w:p>
                  <w:p w:rsidR="00736438" w:rsidRPr="00793852" w:rsidRDefault="00976DBC" w:rsidP="00E946E5">
                    <w:pPr>
                      <w:pStyle w:val="FooterReport"/>
                    </w:pPr>
                    <w:r w:rsidRPr="00793852">
                      <w:t>Melbourne Burwood Campus, 221 Burwood Highway, Burwood, VIC 3125</w:t>
                    </w:r>
                  </w:p>
                  <w:p w:rsidR="00736438" w:rsidRPr="00793852" w:rsidRDefault="00976DBC" w:rsidP="00E946E5">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943088" w:rsidP="00E946E5"/>
                </w:txbxContent>
              </v:textbox>
              <w10:wrap anchorx="page" anchory="page"/>
              <w10:anchorlock/>
            </v:shape>
          </w:pict>
        </mc:Fallback>
      </mc:AlternateContent>
    </w:r>
  </w:p>
  <w:p w:rsidR="00736438" w:rsidRPr="007C0F1B" w:rsidRDefault="00976DBC" w:rsidP="00E946E5">
    <w:pPr>
      <w:pStyle w:val="FooterCode"/>
    </w:pPr>
    <w:r>
      <w:t>Deakin University CRICOS Provider Code: 00113B</w:t>
    </w:r>
  </w:p>
  <w:p w:rsidR="00736438" w:rsidRPr="00E946E5" w:rsidRDefault="002C190A" w:rsidP="00E946E5">
    <w:pPr>
      <w:pStyle w:val="FooterBas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Pr="007C0F1B" w:rsidRDefault="00976DBC" w:rsidP="00C27889">
    <w:pPr>
      <w:pStyle w:val="NormalBase"/>
    </w:pPr>
    <w:r>
      <w:rPr>
        <w:rFonts w:eastAsia="Times New Roman"/>
        <w:noProof/>
        <w:lang w:eastAsia="en-AU"/>
      </w:rPr>
      <w:drawing>
        <wp:anchor distT="0" distB="0" distL="114300" distR="114300" simplePos="0" relativeHeight="251661312" behindDoc="1" locked="1" layoutInCell="1" allowOverlap="1" wp14:anchorId="0102C352" wp14:editId="620BD52A">
          <wp:simplePos x="0" y="0"/>
          <wp:positionH relativeFrom="page">
            <wp:posOffset>248285</wp:posOffset>
          </wp:positionH>
          <wp:positionV relativeFrom="page">
            <wp:posOffset>9764395</wp:posOffset>
          </wp:positionV>
          <wp:extent cx="7088400" cy="712800"/>
          <wp:effectExtent l="0" t="0" r="0" b="0"/>
          <wp:wrapNone/>
          <wp:docPr id="7" name="Picture 8"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1"/>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9264" behindDoc="0" locked="1" layoutInCell="1" allowOverlap="1" wp14:anchorId="7AFD84D2" wp14:editId="6ADD6C6A">
              <wp:simplePos x="0" y="0"/>
              <wp:positionH relativeFrom="page">
                <wp:posOffset>245110</wp:posOffset>
              </wp:positionH>
              <wp:positionV relativeFrom="page">
                <wp:posOffset>9753600</wp:posOffset>
              </wp:positionV>
              <wp:extent cx="7099200" cy="72360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438" w:rsidRPr="00793852" w:rsidRDefault="00976DBC" w:rsidP="00793852">
                          <w:pPr>
                            <w:pStyle w:val="FooterReport"/>
                          </w:pPr>
                          <w:r w:rsidRPr="00793852">
                            <w:t xml:space="preserve">School of </w:t>
                          </w:r>
                          <w:r>
                            <w:t>Law</w:t>
                          </w:r>
                        </w:p>
                        <w:p w:rsidR="00736438" w:rsidRPr="00793852" w:rsidRDefault="00976DBC" w:rsidP="00793852">
                          <w:pPr>
                            <w:pStyle w:val="FooterReport"/>
                          </w:pPr>
                          <w:r w:rsidRPr="00793852">
                            <w:t xml:space="preserve">Faculty of </w:t>
                          </w:r>
                          <w:r>
                            <w:t xml:space="preserve">Business </w:t>
                          </w:r>
                          <w:r w:rsidRPr="00793852">
                            <w:t xml:space="preserve">and </w:t>
                          </w:r>
                          <w:r>
                            <w:t>Law</w:t>
                          </w:r>
                        </w:p>
                        <w:p w:rsidR="00736438" w:rsidRPr="00793852" w:rsidRDefault="00976DBC" w:rsidP="00793852">
                          <w:pPr>
                            <w:pStyle w:val="FooterReport"/>
                          </w:pPr>
                          <w:r w:rsidRPr="00793852">
                            <w:t>Melbourne Burwood Campus, 221 Burwood Highway, Burwood, VIC 3125</w:t>
                          </w:r>
                        </w:p>
                        <w:p w:rsidR="00736438" w:rsidRPr="00793852" w:rsidRDefault="00976DBC" w:rsidP="00793852">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2C19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9.3pt;margin-top:768pt;width:559pt;height: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" filled="f" stroked="f">
              <v:textbox>
                <w:txbxContent>
                  <w:p w:rsidR="00736438" w:rsidRPr="00793852" w:rsidRDefault="00976DBC" w:rsidP="00793852">
                    <w:pPr>
                      <w:pStyle w:val="FooterReport"/>
                    </w:pPr>
                    <w:r w:rsidRPr="00793852">
                      <w:t xml:space="preserve">School of </w:t>
                    </w:r>
                    <w:r>
                      <w:t>Law</w:t>
                    </w:r>
                  </w:p>
                  <w:p w:rsidR="00736438" w:rsidRPr="00793852" w:rsidRDefault="00976DBC" w:rsidP="00793852">
                    <w:pPr>
                      <w:pStyle w:val="FooterReport"/>
                    </w:pPr>
                    <w:r w:rsidRPr="00793852">
                      <w:t xml:space="preserve">Faculty of </w:t>
                    </w:r>
                    <w:r>
                      <w:t xml:space="preserve">Business </w:t>
                    </w:r>
                    <w:r w:rsidRPr="00793852">
                      <w:t xml:space="preserve">and </w:t>
                    </w:r>
                    <w:r>
                      <w:t>Law</w:t>
                    </w:r>
                  </w:p>
                  <w:p w:rsidR="00736438" w:rsidRPr="00793852" w:rsidRDefault="00976DBC" w:rsidP="00793852">
                    <w:pPr>
                      <w:pStyle w:val="FooterReport"/>
                    </w:pPr>
                    <w:r w:rsidRPr="00793852">
                      <w:t>Melbourne Burwood Campus, 221 Burwood Highway, Burwood, VIC 3125</w:t>
                    </w:r>
                  </w:p>
                  <w:p w:rsidR="00736438" w:rsidRPr="00793852" w:rsidRDefault="00976DBC" w:rsidP="00793852">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943088"/>
                </w:txbxContent>
              </v:textbox>
              <w10:wrap anchorx="page" anchory="page"/>
              <w10:anchorlock/>
            </v:shape>
          </w:pict>
        </mc:Fallback>
      </mc:AlternateContent>
    </w:r>
  </w:p>
  <w:p w:rsidR="00736438" w:rsidRPr="007C0F1B" w:rsidRDefault="00976DBC" w:rsidP="008B402F">
    <w:pPr>
      <w:pStyle w:val="FooterCode"/>
    </w:pPr>
    <w:r>
      <w:t>Deakin University CRICOS Provider Code: 00113B</w:t>
    </w:r>
  </w:p>
  <w:p w:rsidR="00736438" w:rsidRPr="007C0F1B" w:rsidRDefault="002C190A" w:rsidP="008B402F">
    <w:pPr>
      <w:pStyle w:val="FooterBas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90A" w:rsidRDefault="002C190A">
      <w:r>
        <w:separator/>
      </w:r>
    </w:p>
  </w:footnote>
  <w:footnote w:type="continuationSeparator" w:id="0">
    <w:p w:rsidR="002C190A" w:rsidRDefault="002C1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Default="002C190A" w:rsidP="005A1A78">
    <w:pPr>
      <w:pStyle w:val="NormalBase"/>
    </w:pPr>
  </w:p>
  <w:p w:rsidR="00736438" w:rsidRDefault="002C190A" w:rsidP="00411013">
    <w:pPr>
      <w:pStyle w:val="HeaderFollower"/>
    </w:pPr>
  </w:p>
  <w:p w:rsidR="00736438" w:rsidRDefault="002C190A" w:rsidP="005A1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Default="00976DBC" w:rsidP="00A42BB8">
    <w:pPr>
      <w:pStyle w:val="NormalBase"/>
      <w:keepNext/>
    </w:pPr>
    <w:r>
      <w:rPr>
        <w:noProof/>
        <w:lang w:eastAsia="en-AU"/>
      </w:rPr>
      <w:drawing>
        <wp:anchor distT="0" distB="0" distL="114300" distR="114300" simplePos="0" relativeHeight="251660288" behindDoc="0" locked="0" layoutInCell="1" allowOverlap="1" wp14:anchorId="19AC149E" wp14:editId="799FC2D8">
          <wp:simplePos x="0" y="0"/>
          <wp:positionH relativeFrom="page">
            <wp:posOffset>3086100</wp:posOffset>
          </wp:positionH>
          <wp:positionV relativeFrom="page">
            <wp:posOffset>257175</wp:posOffset>
          </wp:positionV>
          <wp:extent cx="1333500" cy="1333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kin_Worldly_Logo_Key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p>
  <w:p w:rsidR="00736438" w:rsidRDefault="002C190A" w:rsidP="00A42BB8">
    <w:pPr>
      <w:pStyle w:val="NormalBase"/>
      <w:keepNext/>
    </w:pPr>
  </w:p>
  <w:p w:rsidR="00736438" w:rsidRDefault="002C190A" w:rsidP="00A42BB8">
    <w:pPr>
      <w:pStyle w:val="NormalBase"/>
      <w:keepNext/>
    </w:pPr>
  </w:p>
  <w:p w:rsidR="00736438" w:rsidRDefault="002C190A" w:rsidP="00A42BB8">
    <w:pPr>
      <w:pStyle w:val="NormalBase"/>
      <w:keepNext/>
    </w:pPr>
  </w:p>
  <w:p w:rsidR="00736438" w:rsidRDefault="002C190A" w:rsidP="00A42BB8">
    <w:pPr>
      <w:pStyle w:val="NormalBase"/>
      <w:keepNext/>
    </w:pPr>
  </w:p>
  <w:p w:rsidR="00736438" w:rsidRDefault="002C190A" w:rsidP="00A42BB8">
    <w:pPr>
      <w:pStyle w:val="NormalBase"/>
      <w:keepNext/>
    </w:pPr>
  </w:p>
  <w:p w:rsidR="00736438" w:rsidRDefault="002C190A" w:rsidP="00A42BB8">
    <w:pPr>
      <w:pStyle w:val="NormalBase"/>
      <w:keepNext/>
    </w:pPr>
  </w:p>
  <w:p w:rsidR="00736438" w:rsidRDefault="002C190A" w:rsidP="00A42BB8">
    <w:pPr>
      <w:pStyle w:val="NormalBase"/>
      <w:keepNext/>
    </w:pPr>
  </w:p>
  <w:p w:rsidR="00736438" w:rsidRDefault="002C190A" w:rsidP="00A42BB8">
    <w:pPr>
      <w:pStyle w:val="NormalBase"/>
      <w:keepNext/>
    </w:pPr>
  </w:p>
  <w:p w:rsidR="00736438" w:rsidRDefault="002C190A" w:rsidP="00825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33F84"/>
    <w:multiLevelType w:val="multilevel"/>
    <w:tmpl w:val="68A29A94"/>
    <w:name w:val="CSHeadings"/>
    <w:lvl w:ilvl="0">
      <w:start w:val="1"/>
      <w:numFmt w:val="none"/>
      <w:lvlRestart w:val="0"/>
      <w:pStyle w:val="Heading1"/>
      <w:suff w:val="nothing"/>
      <w:lvlText w:val=""/>
      <w:lvlJc w:val="left"/>
      <w:pPr>
        <w:tabs>
          <w:tab w:val="num" w:pos="1134"/>
        </w:tabs>
        <w:ind w:left="1134" w:firstLine="0"/>
      </w:pPr>
    </w:lvl>
    <w:lvl w:ilvl="1">
      <w:start w:val="1"/>
      <w:numFmt w:val="none"/>
      <w:lvlRestart w:val="0"/>
      <w:pStyle w:val="Heading2"/>
      <w:suff w:val="nothing"/>
      <w:lvlText w:val=""/>
      <w:lvlJc w:val="left"/>
      <w:pPr>
        <w:tabs>
          <w:tab w:val="num" w:pos="1134"/>
        </w:tabs>
        <w:ind w:left="1134" w:firstLine="0"/>
      </w:pPr>
    </w:lvl>
    <w:lvl w:ilvl="2">
      <w:start w:val="1"/>
      <w:numFmt w:val="none"/>
      <w:lvlRestart w:val="0"/>
      <w:pStyle w:val="Heading3"/>
      <w:suff w:val="nothing"/>
      <w:lvlText w:val=""/>
      <w:lvlJc w:val="left"/>
      <w:pPr>
        <w:tabs>
          <w:tab w:val="num" w:pos="1134"/>
        </w:tabs>
        <w:ind w:left="1134" w:firstLine="0"/>
      </w:pPr>
    </w:lvl>
    <w:lvl w:ilvl="3">
      <w:start w:val="1"/>
      <w:numFmt w:val="none"/>
      <w:lvlRestart w:val="0"/>
      <w:pStyle w:val="Heading4"/>
      <w:suff w:val="nothing"/>
      <w:lvlText w:val=""/>
      <w:lvlJc w:val="left"/>
      <w:pPr>
        <w:tabs>
          <w:tab w:val="num" w:pos="1134"/>
        </w:tabs>
        <w:ind w:left="1134" w:firstLine="0"/>
      </w:pPr>
    </w:lvl>
    <w:lvl w:ilvl="4">
      <w:start w:val="1"/>
      <w:numFmt w:val="none"/>
      <w:lvlRestart w:val="0"/>
      <w:pStyle w:val="Heading5"/>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BC"/>
    <w:rsid w:val="0022442A"/>
    <w:rsid w:val="002C190A"/>
    <w:rsid w:val="005133BE"/>
    <w:rsid w:val="006F2F26"/>
    <w:rsid w:val="008A5B26"/>
    <w:rsid w:val="00943088"/>
    <w:rsid w:val="00976DBC"/>
    <w:rsid w:val="00B357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DBC"/>
    <w:pPr>
      <w:spacing w:after="0" w:line="240" w:lineRule="auto"/>
    </w:pPr>
    <w:rPr>
      <w:rFonts w:ascii="Times New Roman" w:eastAsiaTheme="minorEastAsia" w:hAnsi="Times New Roman" w:cs="Times New Roman"/>
      <w:sz w:val="24"/>
      <w:szCs w:val="24"/>
      <w:u w:color="000000"/>
      <w:lang w:val="en-US"/>
    </w:rPr>
  </w:style>
  <w:style w:type="paragraph" w:styleId="Heading1">
    <w:name w:val="heading 1"/>
    <w:basedOn w:val="Normal"/>
    <w:next w:val="BodyText"/>
    <w:link w:val="Heading1Char"/>
    <w:unhideWhenUsed/>
    <w:qFormat/>
    <w:rsid w:val="00976DBC"/>
    <w:pPr>
      <w:keepNext/>
      <w:keepLines/>
      <w:numPr>
        <w:numId w:val="1"/>
      </w:numPr>
      <w:tabs>
        <w:tab w:val="clear" w:pos="1134"/>
      </w:tabs>
      <w:spacing w:after="400" w:line="320" w:lineRule="atLeast"/>
      <w:outlineLvl w:val="0"/>
    </w:pPr>
    <w:rPr>
      <w:rFonts w:ascii="Calibri" w:eastAsiaTheme="majorEastAsia" w:hAnsi="Calibri" w:cs="Calibri"/>
      <w:bCs/>
      <w:color w:val="000000"/>
      <w:spacing w:val="20"/>
      <w:sz w:val="32"/>
      <w:szCs w:val="28"/>
      <w:lang w:val="en-AU"/>
    </w:rPr>
  </w:style>
  <w:style w:type="paragraph" w:styleId="Heading2">
    <w:name w:val="heading 2"/>
    <w:basedOn w:val="Heading1"/>
    <w:next w:val="BodyText"/>
    <w:link w:val="Heading2Char"/>
    <w:unhideWhenUsed/>
    <w:qFormat/>
    <w:rsid w:val="00976DBC"/>
    <w:pPr>
      <w:numPr>
        <w:ilvl w:val="1"/>
      </w:numPr>
      <w:tabs>
        <w:tab w:val="clear" w:pos="1134"/>
      </w:tabs>
      <w:spacing w:before="320" w:line="280" w:lineRule="atLeast"/>
      <w:outlineLvl w:val="1"/>
    </w:pPr>
    <w:rPr>
      <w:b/>
      <w:bCs w:val="0"/>
      <w:spacing w:val="0"/>
      <w:sz w:val="24"/>
      <w:szCs w:val="26"/>
    </w:rPr>
  </w:style>
  <w:style w:type="paragraph" w:styleId="Heading3">
    <w:name w:val="heading 3"/>
    <w:basedOn w:val="Heading2"/>
    <w:next w:val="BodyText"/>
    <w:link w:val="Heading3Char"/>
    <w:unhideWhenUsed/>
    <w:qFormat/>
    <w:rsid w:val="00976DBC"/>
    <w:pPr>
      <w:numPr>
        <w:ilvl w:val="2"/>
      </w:numPr>
      <w:tabs>
        <w:tab w:val="clear" w:pos="1134"/>
      </w:tabs>
      <w:spacing w:before="240"/>
      <w:outlineLvl w:val="2"/>
    </w:pPr>
    <w:rPr>
      <w:bCs/>
      <w:sz w:val="20"/>
    </w:rPr>
  </w:style>
  <w:style w:type="paragraph" w:styleId="Heading4">
    <w:name w:val="heading 4"/>
    <w:basedOn w:val="Heading3"/>
    <w:next w:val="BodyText"/>
    <w:link w:val="Heading4Char"/>
    <w:uiPriority w:val="9"/>
    <w:semiHidden/>
    <w:unhideWhenUsed/>
    <w:qFormat/>
    <w:rsid w:val="00976DBC"/>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976DBC"/>
    <w:pPr>
      <w:numPr>
        <w:ilvl w:val="4"/>
      </w:numPr>
      <w:tabs>
        <w:tab w:val="left" w:pos="1502"/>
      </w:tabs>
      <w:spacing w:before="120"/>
      <w:outlineLvl w:val="4"/>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6DBC"/>
    <w:rPr>
      <w:rFonts w:ascii="Calibri" w:eastAsiaTheme="majorEastAsia" w:hAnsi="Calibri" w:cs="Calibri"/>
      <w:bCs/>
      <w:color w:val="000000"/>
      <w:spacing w:val="20"/>
      <w:sz w:val="32"/>
      <w:szCs w:val="28"/>
      <w:u w:color="000000"/>
    </w:rPr>
  </w:style>
  <w:style w:type="character" w:customStyle="1" w:styleId="Heading2Char">
    <w:name w:val="Heading 2 Char"/>
    <w:basedOn w:val="DefaultParagraphFont"/>
    <w:link w:val="Heading2"/>
    <w:rsid w:val="00976DBC"/>
    <w:rPr>
      <w:rFonts w:ascii="Calibri" w:eastAsiaTheme="majorEastAsia" w:hAnsi="Calibri" w:cs="Calibri"/>
      <w:b/>
      <w:color w:val="000000"/>
      <w:sz w:val="24"/>
      <w:szCs w:val="26"/>
      <w:u w:color="000000"/>
    </w:rPr>
  </w:style>
  <w:style w:type="character" w:customStyle="1" w:styleId="Heading3Char">
    <w:name w:val="Heading 3 Char"/>
    <w:basedOn w:val="DefaultParagraphFont"/>
    <w:link w:val="Heading3"/>
    <w:rsid w:val="00976DBC"/>
    <w:rPr>
      <w:rFonts w:ascii="Calibri" w:eastAsiaTheme="majorEastAsia" w:hAnsi="Calibri" w:cs="Calibri"/>
      <w:b/>
      <w:bCs/>
      <w:color w:val="000000"/>
      <w:sz w:val="20"/>
      <w:szCs w:val="26"/>
      <w:u w:color="000000"/>
    </w:rPr>
  </w:style>
  <w:style w:type="character" w:customStyle="1" w:styleId="Heading4Char">
    <w:name w:val="Heading 4 Char"/>
    <w:basedOn w:val="DefaultParagraphFont"/>
    <w:link w:val="Heading4"/>
    <w:uiPriority w:val="9"/>
    <w:semiHidden/>
    <w:rsid w:val="00976DBC"/>
    <w:rPr>
      <w:rFonts w:ascii="Calibri" w:eastAsiaTheme="majorEastAsia" w:hAnsi="Calibri" w:cs="Calibri"/>
      <w:b/>
      <w:iCs/>
      <w:color w:val="5A4A61"/>
      <w:sz w:val="20"/>
      <w:szCs w:val="26"/>
      <w:u w:color="000000"/>
    </w:rPr>
  </w:style>
  <w:style w:type="character" w:customStyle="1" w:styleId="Heading5Char">
    <w:name w:val="Heading 5 Char"/>
    <w:basedOn w:val="DefaultParagraphFont"/>
    <w:link w:val="Heading5"/>
    <w:uiPriority w:val="9"/>
    <w:semiHidden/>
    <w:rsid w:val="00976DBC"/>
    <w:rPr>
      <w:rFonts w:ascii="Calibri" w:eastAsiaTheme="majorEastAsia" w:hAnsi="Calibri" w:cs="Calibri"/>
      <w:b/>
      <w:iCs/>
      <w:color w:val="000000"/>
      <w:sz w:val="20"/>
      <w:szCs w:val="26"/>
      <w:u w:color="000000"/>
    </w:rPr>
  </w:style>
  <w:style w:type="paragraph" w:customStyle="1" w:styleId="NormalBase">
    <w:name w:val="Normal Base"/>
    <w:rsid w:val="00976DBC"/>
    <w:pPr>
      <w:spacing w:after="0" w:line="240" w:lineRule="auto"/>
    </w:pPr>
    <w:rPr>
      <w:rFonts w:ascii="Calibri" w:hAnsi="Calibri" w:cs="Calibri"/>
      <w:color w:val="000000"/>
      <w:sz w:val="20"/>
      <w:u w:color="000000"/>
    </w:rPr>
  </w:style>
  <w:style w:type="paragraph" w:styleId="BodyText">
    <w:name w:val="Body Text"/>
    <w:link w:val="BodyTextChar"/>
    <w:unhideWhenUsed/>
    <w:qFormat/>
    <w:rsid w:val="00976DBC"/>
    <w:pPr>
      <w:keepLines/>
      <w:spacing w:before="40" w:after="120" w:line="280" w:lineRule="atLeast"/>
      <w:ind w:left="1134"/>
    </w:pPr>
    <w:rPr>
      <w:rFonts w:ascii="Calibri" w:hAnsi="Calibri" w:cs="Calibri"/>
      <w:color w:val="000000"/>
      <w:u w:color="000000"/>
    </w:rPr>
  </w:style>
  <w:style w:type="character" w:customStyle="1" w:styleId="BodyTextChar">
    <w:name w:val="Body Text Char"/>
    <w:basedOn w:val="DefaultParagraphFont"/>
    <w:link w:val="BodyText"/>
    <w:rsid w:val="00976DBC"/>
    <w:rPr>
      <w:rFonts w:ascii="Calibri" w:hAnsi="Calibri" w:cs="Calibri"/>
      <w:color w:val="000000"/>
      <w:u w:color="000000"/>
    </w:rPr>
  </w:style>
  <w:style w:type="character" w:styleId="Emphasis">
    <w:name w:val="Emphasis"/>
    <w:uiPriority w:val="20"/>
    <w:unhideWhenUsed/>
    <w:qFormat/>
    <w:rsid w:val="00976DBC"/>
    <w:rPr>
      <w:rFonts w:ascii="Calibri" w:hAnsi="Calibri" w:cs="Calibri"/>
      <w:b w:val="0"/>
      <w:i/>
      <w:iCs/>
    </w:rPr>
  </w:style>
  <w:style w:type="paragraph" w:customStyle="1" w:styleId="FooterReport">
    <w:name w:val="Footer: Report"/>
    <w:basedOn w:val="Normal"/>
    <w:semiHidden/>
    <w:unhideWhenUsed/>
    <w:rsid w:val="00976DBC"/>
    <w:pPr>
      <w:tabs>
        <w:tab w:val="center" w:pos="5329"/>
      </w:tabs>
      <w:jc w:val="center"/>
    </w:pPr>
    <w:rPr>
      <w:rFonts w:ascii="Calibri" w:eastAsiaTheme="minorHAnsi" w:hAnsi="Calibri" w:cs="Calibri"/>
      <w:b/>
      <w:color w:val="FFFFFF"/>
      <w:sz w:val="20"/>
      <w:szCs w:val="22"/>
      <w:lang w:val="en-AU"/>
    </w:rPr>
  </w:style>
  <w:style w:type="paragraph" w:customStyle="1" w:styleId="FooterCode">
    <w:name w:val="Footer: Code"/>
    <w:basedOn w:val="Normal"/>
    <w:qFormat/>
    <w:rsid w:val="00976DBC"/>
    <w:pPr>
      <w:spacing w:before="560" w:after="1080"/>
      <w:ind w:right="-992"/>
      <w:jc w:val="right"/>
    </w:pPr>
    <w:rPr>
      <w:rFonts w:ascii="Calibri" w:eastAsiaTheme="minorHAnsi" w:hAnsi="Calibri" w:cs="Calibri"/>
      <w:color w:val="000000"/>
      <w:sz w:val="14"/>
      <w:szCs w:val="22"/>
      <w:lang w:val="en-AU"/>
    </w:rPr>
  </w:style>
  <w:style w:type="paragraph" w:styleId="Header">
    <w:name w:val="header"/>
    <w:basedOn w:val="Normal"/>
    <w:link w:val="HeaderChar"/>
    <w:uiPriority w:val="99"/>
    <w:rsid w:val="00976DBC"/>
    <w:pPr>
      <w:tabs>
        <w:tab w:val="center" w:pos="5329"/>
      </w:tabs>
      <w:spacing w:after="180" w:line="320" w:lineRule="atLeast"/>
    </w:pPr>
    <w:rPr>
      <w:rFonts w:ascii="Calibri" w:eastAsiaTheme="minorHAnsi" w:hAnsi="Calibri" w:cs="Calibri"/>
      <w:color w:val="000000"/>
      <w:sz w:val="20"/>
      <w:szCs w:val="22"/>
      <w:lang w:val="en-AU"/>
    </w:rPr>
  </w:style>
  <w:style w:type="character" w:customStyle="1" w:styleId="HeaderChar">
    <w:name w:val="Header Char"/>
    <w:basedOn w:val="DefaultParagraphFont"/>
    <w:link w:val="Header"/>
    <w:uiPriority w:val="99"/>
    <w:rsid w:val="00976DBC"/>
    <w:rPr>
      <w:rFonts w:ascii="Calibri" w:hAnsi="Calibri" w:cs="Calibri"/>
      <w:color w:val="000000"/>
      <w:sz w:val="20"/>
      <w:u w:color="000000"/>
    </w:rPr>
  </w:style>
  <w:style w:type="paragraph" w:customStyle="1" w:styleId="HeaderFollower">
    <w:name w:val="Header: Follower"/>
    <w:basedOn w:val="Normal"/>
    <w:qFormat/>
    <w:rsid w:val="00976DBC"/>
    <w:pPr>
      <w:tabs>
        <w:tab w:val="center" w:pos="5329"/>
      </w:tabs>
      <w:spacing w:before="500" w:after="180"/>
    </w:pPr>
    <w:rPr>
      <w:rFonts w:ascii="Calibri" w:eastAsiaTheme="minorHAnsi" w:hAnsi="Calibri" w:cs="Calibri"/>
      <w:color w:val="000000"/>
      <w:sz w:val="20"/>
      <w:szCs w:val="22"/>
      <w:lang w:val="en-AU"/>
    </w:rPr>
  </w:style>
  <w:style w:type="paragraph" w:customStyle="1" w:styleId="FooterBase">
    <w:name w:val="Footer: Base"/>
    <w:basedOn w:val="Normal"/>
    <w:qFormat/>
    <w:rsid w:val="00976DBC"/>
    <w:rPr>
      <w:sz w:val="14"/>
    </w:rPr>
  </w:style>
  <w:style w:type="character" w:styleId="Hyperlink">
    <w:name w:val="Hyperlink"/>
    <w:basedOn w:val="DefaultParagraphFont"/>
    <w:uiPriority w:val="99"/>
    <w:unhideWhenUsed/>
    <w:rsid w:val="00976DBC"/>
    <w:rPr>
      <w:color w:val="0000FF" w:themeColor="hyperlink"/>
      <w:u w:val="single"/>
    </w:rPr>
  </w:style>
  <w:style w:type="paragraph" w:styleId="NormalWeb">
    <w:name w:val="Normal (Web)"/>
    <w:basedOn w:val="Normal"/>
    <w:uiPriority w:val="99"/>
    <w:unhideWhenUsed/>
    <w:rsid w:val="00976DBC"/>
  </w:style>
  <w:style w:type="paragraph" w:styleId="ListParagraph">
    <w:name w:val="List Paragraph"/>
    <w:basedOn w:val="Normal"/>
    <w:uiPriority w:val="34"/>
    <w:qFormat/>
    <w:rsid w:val="008A5B26"/>
    <w:pPr>
      <w:ind w:left="720"/>
      <w:contextualSpacing/>
    </w:pPr>
  </w:style>
  <w:style w:type="character" w:customStyle="1" w:styleId="apple-converted-space">
    <w:name w:val="apple-converted-space"/>
    <w:basedOn w:val="DefaultParagraphFont"/>
    <w:rsid w:val="005133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DBC"/>
    <w:pPr>
      <w:spacing w:after="0" w:line="240" w:lineRule="auto"/>
    </w:pPr>
    <w:rPr>
      <w:rFonts w:ascii="Times New Roman" w:eastAsiaTheme="minorEastAsia" w:hAnsi="Times New Roman" w:cs="Times New Roman"/>
      <w:sz w:val="24"/>
      <w:szCs w:val="24"/>
      <w:u w:color="000000"/>
      <w:lang w:val="en-US"/>
    </w:rPr>
  </w:style>
  <w:style w:type="paragraph" w:styleId="Heading1">
    <w:name w:val="heading 1"/>
    <w:basedOn w:val="Normal"/>
    <w:next w:val="BodyText"/>
    <w:link w:val="Heading1Char"/>
    <w:unhideWhenUsed/>
    <w:qFormat/>
    <w:rsid w:val="00976DBC"/>
    <w:pPr>
      <w:keepNext/>
      <w:keepLines/>
      <w:numPr>
        <w:numId w:val="1"/>
      </w:numPr>
      <w:tabs>
        <w:tab w:val="clear" w:pos="1134"/>
      </w:tabs>
      <w:spacing w:after="400" w:line="320" w:lineRule="atLeast"/>
      <w:outlineLvl w:val="0"/>
    </w:pPr>
    <w:rPr>
      <w:rFonts w:ascii="Calibri" w:eastAsiaTheme="majorEastAsia" w:hAnsi="Calibri" w:cs="Calibri"/>
      <w:bCs/>
      <w:color w:val="000000"/>
      <w:spacing w:val="20"/>
      <w:sz w:val="32"/>
      <w:szCs w:val="28"/>
      <w:lang w:val="en-AU"/>
    </w:rPr>
  </w:style>
  <w:style w:type="paragraph" w:styleId="Heading2">
    <w:name w:val="heading 2"/>
    <w:basedOn w:val="Heading1"/>
    <w:next w:val="BodyText"/>
    <w:link w:val="Heading2Char"/>
    <w:unhideWhenUsed/>
    <w:qFormat/>
    <w:rsid w:val="00976DBC"/>
    <w:pPr>
      <w:numPr>
        <w:ilvl w:val="1"/>
      </w:numPr>
      <w:tabs>
        <w:tab w:val="clear" w:pos="1134"/>
      </w:tabs>
      <w:spacing w:before="320" w:line="280" w:lineRule="atLeast"/>
      <w:outlineLvl w:val="1"/>
    </w:pPr>
    <w:rPr>
      <w:b/>
      <w:bCs w:val="0"/>
      <w:spacing w:val="0"/>
      <w:sz w:val="24"/>
      <w:szCs w:val="26"/>
    </w:rPr>
  </w:style>
  <w:style w:type="paragraph" w:styleId="Heading3">
    <w:name w:val="heading 3"/>
    <w:basedOn w:val="Heading2"/>
    <w:next w:val="BodyText"/>
    <w:link w:val="Heading3Char"/>
    <w:unhideWhenUsed/>
    <w:qFormat/>
    <w:rsid w:val="00976DBC"/>
    <w:pPr>
      <w:numPr>
        <w:ilvl w:val="2"/>
      </w:numPr>
      <w:tabs>
        <w:tab w:val="clear" w:pos="1134"/>
      </w:tabs>
      <w:spacing w:before="240"/>
      <w:outlineLvl w:val="2"/>
    </w:pPr>
    <w:rPr>
      <w:bCs/>
      <w:sz w:val="20"/>
    </w:rPr>
  </w:style>
  <w:style w:type="paragraph" w:styleId="Heading4">
    <w:name w:val="heading 4"/>
    <w:basedOn w:val="Heading3"/>
    <w:next w:val="BodyText"/>
    <w:link w:val="Heading4Char"/>
    <w:uiPriority w:val="9"/>
    <w:semiHidden/>
    <w:unhideWhenUsed/>
    <w:qFormat/>
    <w:rsid w:val="00976DBC"/>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976DBC"/>
    <w:pPr>
      <w:numPr>
        <w:ilvl w:val="4"/>
      </w:numPr>
      <w:tabs>
        <w:tab w:val="left" w:pos="1502"/>
      </w:tabs>
      <w:spacing w:before="120"/>
      <w:outlineLvl w:val="4"/>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6DBC"/>
    <w:rPr>
      <w:rFonts w:ascii="Calibri" w:eastAsiaTheme="majorEastAsia" w:hAnsi="Calibri" w:cs="Calibri"/>
      <w:bCs/>
      <w:color w:val="000000"/>
      <w:spacing w:val="20"/>
      <w:sz w:val="32"/>
      <w:szCs w:val="28"/>
      <w:u w:color="000000"/>
    </w:rPr>
  </w:style>
  <w:style w:type="character" w:customStyle="1" w:styleId="Heading2Char">
    <w:name w:val="Heading 2 Char"/>
    <w:basedOn w:val="DefaultParagraphFont"/>
    <w:link w:val="Heading2"/>
    <w:rsid w:val="00976DBC"/>
    <w:rPr>
      <w:rFonts w:ascii="Calibri" w:eastAsiaTheme="majorEastAsia" w:hAnsi="Calibri" w:cs="Calibri"/>
      <w:b/>
      <w:color w:val="000000"/>
      <w:sz w:val="24"/>
      <w:szCs w:val="26"/>
      <w:u w:color="000000"/>
    </w:rPr>
  </w:style>
  <w:style w:type="character" w:customStyle="1" w:styleId="Heading3Char">
    <w:name w:val="Heading 3 Char"/>
    <w:basedOn w:val="DefaultParagraphFont"/>
    <w:link w:val="Heading3"/>
    <w:rsid w:val="00976DBC"/>
    <w:rPr>
      <w:rFonts w:ascii="Calibri" w:eastAsiaTheme="majorEastAsia" w:hAnsi="Calibri" w:cs="Calibri"/>
      <w:b/>
      <w:bCs/>
      <w:color w:val="000000"/>
      <w:sz w:val="20"/>
      <w:szCs w:val="26"/>
      <w:u w:color="000000"/>
    </w:rPr>
  </w:style>
  <w:style w:type="character" w:customStyle="1" w:styleId="Heading4Char">
    <w:name w:val="Heading 4 Char"/>
    <w:basedOn w:val="DefaultParagraphFont"/>
    <w:link w:val="Heading4"/>
    <w:uiPriority w:val="9"/>
    <w:semiHidden/>
    <w:rsid w:val="00976DBC"/>
    <w:rPr>
      <w:rFonts w:ascii="Calibri" w:eastAsiaTheme="majorEastAsia" w:hAnsi="Calibri" w:cs="Calibri"/>
      <w:b/>
      <w:iCs/>
      <w:color w:val="5A4A61"/>
      <w:sz w:val="20"/>
      <w:szCs w:val="26"/>
      <w:u w:color="000000"/>
    </w:rPr>
  </w:style>
  <w:style w:type="character" w:customStyle="1" w:styleId="Heading5Char">
    <w:name w:val="Heading 5 Char"/>
    <w:basedOn w:val="DefaultParagraphFont"/>
    <w:link w:val="Heading5"/>
    <w:uiPriority w:val="9"/>
    <w:semiHidden/>
    <w:rsid w:val="00976DBC"/>
    <w:rPr>
      <w:rFonts w:ascii="Calibri" w:eastAsiaTheme="majorEastAsia" w:hAnsi="Calibri" w:cs="Calibri"/>
      <w:b/>
      <w:iCs/>
      <w:color w:val="000000"/>
      <w:sz w:val="20"/>
      <w:szCs w:val="26"/>
      <w:u w:color="000000"/>
    </w:rPr>
  </w:style>
  <w:style w:type="paragraph" w:customStyle="1" w:styleId="NormalBase">
    <w:name w:val="Normal Base"/>
    <w:rsid w:val="00976DBC"/>
    <w:pPr>
      <w:spacing w:after="0" w:line="240" w:lineRule="auto"/>
    </w:pPr>
    <w:rPr>
      <w:rFonts w:ascii="Calibri" w:hAnsi="Calibri" w:cs="Calibri"/>
      <w:color w:val="000000"/>
      <w:sz w:val="20"/>
      <w:u w:color="000000"/>
    </w:rPr>
  </w:style>
  <w:style w:type="paragraph" w:styleId="BodyText">
    <w:name w:val="Body Text"/>
    <w:link w:val="BodyTextChar"/>
    <w:unhideWhenUsed/>
    <w:qFormat/>
    <w:rsid w:val="00976DBC"/>
    <w:pPr>
      <w:keepLines/>
      <w:spacing w:before="40" w:after="120" w:line="280" w:lineRule="atLeast"/>
      <w:ind w:left="1134"/>
    </w:pPr>
    <w:rPr>
      <w:rFonts w:ascii="Calibri" w:hAnsi="Calibri" w:cs="Calibri"/>
      <w:color w:val="000000"/>
      <w:u w:color="000000"/>
    </w:rPr>
  </w:style>
  <w:style w:type="character" w:customStyle="1" w:styleId="BodyTextChar">
    <w:name w:val="Body Text Char"/>
    <w:basedOn w:val="DefaultParagraphFont"/>
    <w:link w:val="BodyText"/>
    <w:rsid w:val="00976DBC"/>
    <w:rPr>
      <w:rFonts w:ascii="Calibri" w:hAnsi="Calibri" w:cs="Calibri"/>
      <w:color w:val="000000"/>
      <w:u w:color="000000"/>
    </w:rPr>
  </w:style>
  <w:style w:type="character" w:styleId="Emphasis">
    <w:name w:val="Emphasis"/>
    <w:uiPriority w:val="20"/>
    <w:unhideWhenUsed/>
    <w:qFormat/>
    <w:rsid w:val="00976DBC"/>
    <w:rPr>
      <w:rFonts w:ascii="Calibri" w:hAnsi="Calibri" w:cs="Calibri"/>
      <w:b w:val="0"/>
      <w:i/>
      <w:iCs/>
    </w:rPr>
  </w:style>
  <w:style w:type="paragraph" w:customStyle="1" w:styleId="FooterReport">
    <w:name w:val="Footer: Report"/>
    <w:basedOn w:val="Normal"/>
    <w:semiHidden/>
    <w:unhideWhenUsed/>
    <w:rsid w:val="00976DBC"/>
    <w:pPr>
      <w:tabs>
        <w:tab w:val="center" w:pos="5329"/>
      </w:tabs>
      <w:jc w:val="center"/>
    </w:pPr>
    <w:rPr>
      <w:rFonts w:ascii="Calibri" w:eastAsiaTheme="minorHAnsi" w:hAnsi="Calibri" w:cs="Calibri"/>
      <w:b/>
      <w:color w:val="FFFFFF"/>
      <w:sz w:val="20"/>
      <w:szCs w:val="22"/>
      <w:lang w:val="en-AU"/>
    </w:rPr>
  </w:style>
  <w:style w:type="paragraph" w:customStyle="1" w:styleId="FooterCode">
    <w:name w:val="Footer: Code"/>
    <w:basedOn w:val="Normal"/>
    <w:qFormat/>
    <w:rsid w:val="00976DBC"/>
    <w:pPr>
      <w:spacing w:before="560" w:after="1080"/>
      <w:ind w:right="-992"/>
      <w:jc w:val="right"/>
    </w:pPr>
    <w:rPr>
      <w:rFonts w:ascii="Calibri" w:eastAsiaTheme="minorHAnsi" w:hAnsi="Calibri" w:cs="Calibri"/>
      <w:color w:val="000000"/>
      <w:sz w:val="14"/>
      <w:szCs w:val="22"/>
      <w:lang w:val="en-AU"/>
    </w:rPr>
  </w:style>
  <w:style w:type="paragraph" w:styleId="Header">
    <w:name w:val="header"/>
    <w:basedOn w:val="Normal"/>
    <w:link w:val="HeaderChar"/>
    <w:uiPriority w:val="99"/>
    <w:rsid w:val="00976DBC"/>
    <w:pPr>
      <w:tabs>
        <w:tab w:val="center" w:pos="5329"/>
      </w:tabs>
      <w:spacing w:after="180" w:line="320" w:lineRule="atLeast"/>
    </w:pPr>
    <w:rPr>
      <w:rFonts w:ascii="Calibri" w:eastAsiaTheme="minorHAnsi" w:hAnsi="Calibri" w:cs="Calibri"/>
      <w:color w:val="000000"/>
      <w:sz w:val="20"/>
      <w:szCs w:val="22"/>
      <w:lang w:val="en-AU"/>
    </w:rPr>
  </w:style>
  <w:style w:type="character" w:customStyle="1" w:styleId="HeaderChar">
    <w:name w:val="Header Char"/>
    <w:basedOn w:val="DefaultParagraphFont"/>
    <w:link w:val="Header"/>
    <w:uiPriority w:val="99"/>
    <w:rsid w:val="00976DBC"/>
    <w:rPr>
      <w:rFonts w:ascii="Calibri" w:hAnsi="Calibri" w:cs="Calibri"/>
      <w:color w:val="000000"/>
      <w:sz w:val="20"/>
      <w:u w:color="000000"/>
    </w:rPr>
  </w:style>
  <w:style w:type="paragraph" w:customStyle="1" w:styleId="HeaderFollower">
    <w:name w:val="Header: Follower"/>
    <w:basedOn w:val="Normal"/>
    <w:qFormat/>
    <w:rsid w:val="00976DBC"/>
    <w:pPr>
      <w:tabs>
        <w:tab w:val="center" w:pos="5329"/>
      </w:tabs>
      <w:spacing w:before="500" w:after="180"/>
    </w:pPr>
    <w:rPr>
      <w:rFonts w:ascii="Calibri" w:eastAsiaTheme="minorHAnsi" w:hAnsi="Calibri" w:cs="Calibri"/>
      <w:color w:val="000000"/>
      <w:sz w:val="20"/>
      <w:szCs w:val="22"/>
      <w:lang w:val="en-AU"/>
    </w:rPr>
  </w:style>
  <w:style w:type="paragraph" w:customStyle="1" w:styleId="FooterBase">
    <w:name w:val="Footer: Base"/>
    <w:basedOn w:val="Normal"/>
    <w:qFormat/>
    <w:rsid w:val="00976DBC"/>
    <w:rPr>
      <w:sz w:val="14"/>
    </w:rPr>
  </w:style>
  <w:style w:type="character" w:styleId="Hyperlink">
    <w:name w:val="Hyperlink"/>
    <w:basedOn w:val="DefaultParagraphFont"/>
    <w:uiPriority w:val="99"/>
    <w:unhideWhenUsed/>
    <w:rsid w:val="00976DBC"/>
    <w:rPr>
      <w:color w:val="0000FF" w:themeColor="hyperlink"/>
      <w:u w:val="single"/>
    </w:rPr>
  </w:style>
  <w:style w:type="paragraph" w:styleId="NormalWeb">
    <w:name w:val="Normal (Web)"/>
    <w:basedOn w:val="Normal"/>
    <w:uiPriority w:val="99"/>
    <w:unhideWhenUsed/>
    <w:rsid w:val="00976DBC"/>
  </w:style>
  <w:style w:type="paragraph" w:styleId="ListParagraph">
    <w:name w:val="List Paragraph"/>
    <w:basedOn w:val="Normal"/>
    <w:uiPriority w:val="34"/>
    <w:qFormat/>
    <w:rsid w:val="008A5B26"/>
    <w:pPr>
      <w:ind w:left="720"/>
      <w:contextualSpacing/>
    </w:pPr>
  </w:style>
  <w:style w:type="character" w:customStyle="1" w:styleId="apple-converted-space">
    <w:name w:val="apple-converted-space"/>
    <w:basedOn w:val="DefaultParagraphFont"/>
    <w:rsid w:val="00513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2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ijlp.2013.06.012"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law.gov.au/Browse/Results/ByTitle/Acts/Current/Na/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lrc.gov.au/publications/copyright-and-digital-economy-dp-79/10-transformative-use-and-quotation" TargetMode="External"/><Relationship Id="rId4" Type="http://schemas.openxmlformats.org/officeDocument/2006/relationships/settings" Target="settings.xml"/><Relationship Id="rId9" Type="http://schemas.openxmlformats.org/officeDocument/2006/relationships/hyperlink" Target="http://dx.doi.org/10.1016/j.ijlp.2013.06.005"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dcterms:created xsi:type="dcterms:W3CDTF">2013-09-01T10:18:00Z</dcterms:created>
  <dcterms:modified xsi:type="dcterms:W3CDTF">2013-09-10T10:13:00Z</dcterms:modified>
</cp:coreProperties>
</file>