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1E" w:rsidRPr="003E0C95" w:rsidRDefault="0014311E" w:rsidP="0014311E">
      <w:pPr>
        <w:pStyle w:val="NormalBase"/>
        <w:rPr>
          <w:rFonts w:asciiTheme="minorHAnsi" w:hAnsiTheme="minorHAnsi" w:cstheme="minorHAnsi"/>
        </w:rPr>
      </w:pPr>
    </w:p>
    <w:p w:rsidR="0014311E" w:rsidRPr="003E0C95" w:rsidRDefault="0014311E" w:rsidP="0014311E">
      <w:pPr>
        <w:pStyle w:val="Heading1"/>
        <w:rPr>
          <w:rFonts w:asciiTheme="minorHAnsi" w:hAnsiTheme="minorHAnsi" w:cstheme="minorHAnsi"/>
          <w:b/>
        </w:rPr>
      </w:pPr>
      <w:r w:rsidRPr="003E0C95">
        <w:rPr>
          <w:rFonts w:asciiTheme="minorHAnsi" w:hAnsiTheme="minorHAnsi" w:cstheme="minorHAnsi"/>
          <w:b/>
        </w:rPr>
        <w:t>DEAKIN UNIVERSITY</w:t>
      </w:r>
      <w:bookmarkStart w:id="0" w:name="_GoBack"/>
      <w:bookmarkEnd w:id="0"/>
    </w:p>
    <w:p w:rsidR="0014311E" w:rsidRPr="003E0C95" w:rsidRDefault="0014311E" w:rsidP="0014311E">
      <w:pPr>
        <w:pStyle w:val="Heading1"/>
        <w:rPr>
          <w:rFonts w:asciiTheme="minorHAnsi" w:hAnsiTheme="minorHAnsi" w:cstheme="minorHAnsi"/>
          <w:b/>
        </w:rPr>
      </w:pPr>
      <w:r w:rsidRPr="003E0C95">
        <w:rPr>
          <w:rFonts w:asciiTheme="minorHAnsi" w:hAnsiTheme="minorHAnsi" w:cstheme="minorHAnsi"/>
          <w:b/>
        </w:rPr>
        <w:t>SCHOOL OF LAW RESEARCH REPORT No 1</w:t>
      </w:r>
      <w:r w:rsidR="0002759A">
        <w:rPr>
          <w:rFonts w:asciiTheme="minorHAnsi" w:hAnsiTheme="minorHAnsi" w:cstheme="minorHAnsi"/>
          <w:b/>
        </w:rPr>
        <w:t>9</w:t>
      </w:r>
      <w:r w:rsidRPr="003E0C95">
        <w:rPr>
          <w:rFonts w:asciiTheme="minorHAnsi" w:hAnsiTheme="minorHAnsi" w:cstheme="minorHAnsi"/>
          <w:b/>
        </w:rPr>
        <w:t xml:space="preserve"> </w:t>
      </w:r>
    </w:p>
    <w:p w:rsidR="0014311E" w:rsidRPr="003E0C95" w:rsidRDefault="0002759A" w:rsidP="0014311E">
      <w:pPr>
        <w:pStyle w:val="Heading1"/>
        <w:rPr>
          <w:rFonts w:asciiTheme="minorHAnsi" w:hAnsiTheme="minorHAnsi" w:cstheme="minorHAnsi"/>
          <w:b/>
        </w:rPr>
      </w:pPr>
      <w:r>
        <w:rPr>
          <w:rFonts w:asciiTheme="minorHAnsi" w:hAnsiTheme="minorHAnsi" w:cstheme="minorHAnsi"/>
          <w:b/>
        </w:rPr>
        <w:t>18</w:t>
      </w:r>
      <w:r w:rsidR="0014311E" w:rsidRPr="003E0C95">
        <w:rPr>
          <w:rFonts w:asciiTheme="minorHAnsi" w:hAnsiTheme="minorHAnsi" w:cstheme="minorHAnsi"/>
          <w:b/>
        </w:rPr>
        <w:t>/</w:t>
      </w:r>
      <w:r>
        <w:rPr>
          <w:rFonts w:asciiTheme="minorHAnsi" w:hAnsiTheme="minorHAnsi" w:cstheme="minorHAnsi"/>
          <w:b/>
        </w:rPr>
        <w:t>1</w:t>
      </w:r>
      <w:r w:rsidR="0014311E" w:rsidRPr="003E0C95">
        <w:rPr>
          <w:rFonts w:asciiTheme="minorHAnsi" w:hAnsiTheme="minorHAnsi" w:cstheme="minorHAnsi"/>
          <w:b/>
        </w:rPr>
        <w:t>0/2013</w:t>
      </w:r>
    </w:p>
    <w:p w:rsidR="0014311E" w:rsidRPr="003E0C95" w:rsidRDefault="0014311E" w:rsidP="0014311E">
      <w:pPr>
        <w:pStyle w:val="Heading2"/>
        <w:rPr>
          <w:rFonts w:asciiTheme="minorHAnsi" w:hAnsiTheme="minorHAnsi" w:cstheme="minorHAnsi"/>
          <w:color w:val="FF0000"/>
          <w:sz w:val="28"/>
          <w:szCs w:val="28"/>
        </w:rPr>
      </w:pPr>
      <w:r w:rsidRPr="003E0C95">
        <w:rPr>
          <w:rFonts w:asciiTheme="minorHAnsi" w:hAnsiTheme="minorHAnsi" w:cstheme="minorHAnsi"/>
          <w:color w:val="FF0000"/>
          <w:sz w:val="28"/>
          <w:szCs w:val="28"/>
        </w:rPr>
        <w:t>RECENT PUBLICATIONS</w:t>
      </w:r>
    </w:p>
    <w:p w:rsidR="0014311E" w:rsidRPr="003E0C95" w:rsidRDefault="0014311E" w:rsidP="0014311E">
      <w:pPr>
        <w:keepNext/>
        <w:keepLines/>
        <w:numPr>
          <w:ilvl w:val="1"/>
          <w:numId w:val="1"/>
        </w:numPr>
        <w:spacing w:line="280" w:lineRule="atLeast"/>
        <w:outlineLvl w:val="1"/>
        <w:rPr>
          <w:rFonts w:asciiTheme="minorHAnsi" w:hAnsiTheme="minorHAnsi" w:cstheme="minorHAnsi"/>
          <w:color w:val="0070C0"/>
        </w:rPr>
      </w:pPr>
      <w:r w:rsidRPr="003E0C95">
        <w:rPr>
          <w:rFonts w:asciiTheme="minorHAnsi" w:hAnsiTheme="minorHAnsi" w:cstheme="minorHAnsi"/>
          <w:b/>
          <w:color w:val="7030A0"/>
        </w:rPr>
        <w:t>Congratulations to the author</w:t>
      </w:r>
      <w:r>
        <w:rPr>
          <w:rFonts w:asciiTheme="minorHAnsi" w:hAnsiTheme="minorHAnsi" w:cstheme="minorHAnsi"/>
          <w:b/>
          <w:color w:val="7030A0"/>
        </w:rPr>
        <w:t>s</w:t>
      </w:r>
      <w:r w:rsidRPr="003E0C95">
        <w:rPr>
          <w:rFonts w:asciiTheme="minorHAnsi" w:hAnsiTheme="minorHAnsi" w:cstheme="minorHAnsi"/>
          <w:b/>
          <w:color w:val="7030A0"/>
        </w:rPr>
        <w:t xml:space="preserve"> of the following recent publication</w:t>
      </w:r>
      <w:r>
        <w:rPr>
          <w:rFonts w:asciiTheme="minorHAnsi" w:hAnsiTheme="minorHAnsi" w:cstheme="minorHAnsi"/>
          <w:b/>
          <w:color w:val="7030A0"/>
        </w:rPr>
        <w:t>s</w:t>
      </w:r>
      <w:r w:rsidRPr="003E0C95">
        <w:rPr>
          <w:rFonts w:asciiTheme="minorHAnsi" w:hAnsiTheme="minorHAnsi" w:cstheme="minorHAnsi"/>
          <w:b/>
          <w:color w:val="7030A0"/>
        </w:rPr>
        <w:t>:</w:t>
      </w:r>
      <w:r w:rsidRPr="003E0C95">
        <w:rPr>
          <w:rFonts w:asciiTheme="minorHAnsi" w:hAnsiTheme="minorHAnsi" w:cstheme="minorHAnsi"/>
        </w:rPr>
        <w:t xml:space="preserve"> </w:t>
      </w:r>
    </w:p>
    <w:p w:rsidR="00493001" w:rsidRPr="00493001" w:rsidRDefault="00493001" w:rsidP="00F916E8">
      <w:pPr>
        <w:keepLines/>
        <w:numPr>
          <w:ilvl w:val="0"/>
          <w:numId w:val="1"/>
        </w:numPr>
        <w:spacing w:before="40" w:after="120" w:line="280" w:lineRule="atLeast"/>
        <w:rPr>
          <w:rFonts w:asciiTheme="minorHAnsi" w:hAnsiTheme="minorHAnsi" w:cstheme="minorHAnsi"/>
          <w:b/>
          <w:color w:val="0070C0"/>
        </w:rPr>
      </w:pPr>
    </w:p>
    <w:p w:rsidR="00F916E8" w:rsidRPr="00CE7EA3" w:rsidRDefault="00F916E8" w:rsidP="00F916E8">
      <w:pPr>
        <w:keepLines/>
        <w:numPr>
          <w:ilvl w:val="0"/>
          <w:numId w:val="1"/>
        </w:numPr>
        <w:spacing w:before="40" w:after="120" w:line="280" w:lineRule="atLeast"/>
        <w:rPr>
          <w:rFonts w:asciiTheme="minorHAnsi" w:hAnsiTheme="minorHAnsi" w:cstheme="minorHAnsi"/>
          <w:b/>
        </w:rPr>
      </w:pPr>
      <w:r w:rsidRPr="009A0798">
        <w:rPr>
          <w:rFonts w:asciiTheme="minorHAnsi" w:hAnsiTheme="minorHAnsi" w:cstheme="minorHAnsi"/>
          <w:b/>
          <w:color w:val="C00000"/>
        </w:rPr>
        <w:t>Morss, John</w:t>
      </w:r>
      <w:r w:rsidRPr="009A0798">
        <w:rPr>
          <w:rFonts w:asciiTheme="minorHAnsi" w:hAnsiTheme="minorHAnsi" w:cstheme="minorHAnsi"/>
        </w:rPr>
        <w:t xml:space="preserve">, </w:t>
      </w:r>
      <w:r w:rsidRPr="009A0798">
        <w:rPr>
          <w:rFonts w:asciiTheme="minorHAnsi" w:hAnsiTheme="minorHAnsi" w:cstheme="minorHAnsi"/>
          <w:i/>
        </w:rPr>
        <w:t>International Law as the Law of Collectives: Toward a Law of People</w:t>
      </w:r>
      <w:r w:rsidRPr="009A0798">
        <w:rPr>
          <w:rFonts w:asciiTheme="minorHAnsi" w:hAnsiTheme="minorHAnsi" w:cstheme="minorHAnsi"/>
        </w:rPr>
        <w:t xml:space="preserve"> (2013) </w:t>
      </w:r>
      <w:proofErr w:type="spellStart"/>
      <w:r w:rsidRPr="009A0798">
        <w:rPr>
          <w:rFonts w:asciiTheme="minorHAnsi" w:hAnsiTheme="minorHAnsi" w:cstheme="minorHAnsi"/>
        </w:rPr>
        <w:t>Ashgate</w:t>
      </w:r>
      <w:proofErr w:type="spellEnd"/>
      <w:r w:rsidRPr="009A0798">
        <w:rPr>
          <w:rFonts w:asciiTheme="minorHAnsi" w:hAnsiTheme="minorHAnsi" w:cstheme="minorHAnsi"/>
        </w:rPr>
        <w:t>, UK.</w:t>
      </w:r>
      <w:r w:rsidRPr="009A0798">
        <w:rPr>
          <w:rFonts w:asciiTheme="minorHAnsi" w:hAnsiTheme="minorHAnsi" w:cstheme="minorHAnsi"/>
          <w:b/>
          <w:color w:val="0070C0"/>
        </w:rPr>
        <w:t xml:space="preserve"> </w:t>
      </w:r>
      <w:r w:rsidRPr="00CE7EA3">
        <w:rPr>
          <w:rFonts w:asciiTheme="minorHAnsi" w:hAnsiTheme="minorHAnsi" w:cstheme="minorHAnsi"/>
          <w:b/>
        </w:rPr>
        <w:t>B</w:t>
      </w:r>
    </w:p>
    <w:p w:rsidR="002E2E15" w:rsidRPr="009A0798" w:rsidRDefault="0014311E" w:rsidP="002E2E15">
      <w:pPr>
        <w:keepLines/>
        <w:numPr>
          <w:ilvl w:val="0"/>
          <w:numId w:val="1"/>
        </w:numPr>
        <w:spacing w:before="40" w:after="120" w:line="280" w:lineRule="atLeast"/>
        <w:rPr>
          <w:rFonts w:asciiTheme="minorHAnsi" w:hAnsiTheme="minorHAnsi" w:cstheme="minorHAnsi"/>
          <w:b/>
          <w:color w:val="0070C0"/>
        </w:rPr>
      </w:pPr>
      <w:r w:rsidRPr="009A0798">
        <w:rPr>
          <w:rFonts w:asciiTheme="minorHAnsi" w:hAnsiTheme="minorHAnsi" w:cstheme="minorHAnsi"/>
          <w:b/>
          <w:color w:val="C00000"/>
        </w:rPr>
        <w:t>Adeney, Elizabeth</w:t>
      </w:r>
      <w:r w:rsidR="002E2E15" w:rsidRPr="009A0798">
        <w:rPr>
          <w:rFonts w:asciiTheme="minorHAnsi" w:hAnsiTheme="minorHAnsi" w:cstheme="minorHAnsi"/>
        </w:rPr>
        <w:t>, ‘</w:t>
      </w:r>
      <w:r w:rsidRPr="009A0798">
        <w:rPr>
          <w:rFonts w:asciiTheme="minorHAnsi" w:hAnsiTheme="minorHAnsi" w:cstheme="minorHAnsi"/>
        </w:rPr>
        <w:t>Representative actions, proof of fact and author identification in copyright law: a history and a concern</w:t>
      </w:r>
      <w:r w:rsidR="002E2E15" w:rsidRPr="009A0798">
        <w:rPr>
          <w:rFonts w:asciiTheme="minorHAnsi" w:hAnsiTheme="minorHAnsi" w:cstheme="minorHAnsi"/>
        </w:rPr>
        <w:t xml:space="preserve">’ (2013) 39 </w:t>
      </w:r>
      <w:r w:rsidRPr="009A0798">
        <w:rPr>
          <w:rFonts w:asciiTheme="minorHAnsi" w:hAnsiTheme="minorHAnsi" w:cstheme="minorHAnsi"/>
          <w:i/>
        </w:rPr>
        <w:t xml:space="preserve">Monash </w:t>
      </w:r>
      <w:r w:rsidR="002E2E15" w:rsidRPr="009A0798">
        <w:rPr>
          <w:rFonts w:asciiTheme="minorHAnsi" w:hAnsiTheme="minorHAnsi" w:cstheme="minorHAnsi"/>
          <w:i/>
        </w:rPr>
        <w:t>University Law Review</w:t>
      </w:r>
      <w:r w:rsidRPr="009A0798">
        <w:rPr>
          <w:rFonts w:asciiTheme="minorHAnsi" w:hAnsiTheme="minorHAnsi" w:cstheme="minorHAnsi"/>
        </w:rPr>
        <w:t xml:space="preserve"> 106-130.</w:t>
      </w:r>
      <w:r w:rsidR="002E2E15" w:rsidRPr="009A0798">
        <w:rPr>
          <w:rFonts w:asciiTheme="minorHAnsi" w:hAnsiTheme="minorHAnsi" w:cstheme="minorHAnsi"/>
        </w:rPr>
        <w:t xml:space="preserve"> C1</w:t>
      </w:r>
      <w:r w:rsidR="002E2E15" w:rsidRPr="009A0798">
        <w:rPr>
          <w:rFonts w:asciiTheme="minorHAnsi" w:hAnsiTheme="minorHAnsi" w:cstheme="minorHAnsi"/>
          <w:b/>
          <w:color w:val="0070C0"/>
        </w:rPr>
        <w:t xml:space="preserve"> </w:t>
      </w:r>
      <w:hyperlink r:id="rId8" w:history="1">
        <w:r w:rsidR="002E2E15" w:rsidRPr="009A0798">
          <w:rPr>
            <w:rStyle w:val="Hyperlink"/>
            <w:rFonts w:asciiTheme="minorHAnsi" w:hAnsiTheme="minorHAnsi" w:cstheme="minorHAnsi"/>
          </w:rPr>
          <w:t>http://dro.deakin.edu.au/view/DU:30056855</w:t>
        </w:r>
      </w:hyperlink>
    </w:p>
    <w:p w:rsidR="002E2E15" w:rsidRPr="009A0798" w:rsidRDefault="002E2E15" w:rsidP="002E2E15">
      <w:pPr>
        <w:keepLines/>
        <w:numPr>
          <w:ilvl w:val="0"/>
          <w:numId w:val="1"/>
        </w:numPr>
        <w:spacing w:before="40" w:after="120" w:line="280" w:lineRule="atLeast"/>
        <w:rPr>
          <w:rFonts w:asciiTheme="minorHAnsi" w:hAnsiTheme="minorHAnsi" w:cstheme="minorHAnsi"/>
          <w:b/>
          <w:color w:val="0070C0"/>
        </w:rPr>
      </w:pPr>
      <w:r w:rsidRPr="009A0798">
        <w:rPr>
          <w:rFonts w:asciiTheme="minorHAnsi" w:hAnsiTheme="minorHAnsi" w:cstheme="minorHAnsi"/>
          <w:b/>
          <w:color w:val="C00000"/>
        </w:rPr>
        <w:t>Bagaric, Mirko</w:t>
      </w:r>
      <w:r w:rsidRPr="009A0798">
        <w:rPr>
          <w:rFonts w:asciiTheme="minorHAnsi" w:hAnsiTheme="minorHAnsi" w:cstheme="minorHAnsi"/>
          <w:color w:val="C00000"/>
        </w:rPr>
        <w:t xml:space="preserve"> </w:t>
      </w:r>
      <w:r w:rsidRPr="009A0798">
        <w:rPr>
          <w:rFonts w:asciiTheme="minorHAnsi" w:hAnsiTheme="minorHAnsi" w:cstheme="minorHAnsi"/>
        </w:rPr>
        <w:t xml:space="preserve">&amp; </w:t>
      </w:r>
      <w:r w:rsidRPr="009A0798">
        <w:rPr>
          <w:rFonts w:asciiTheme="minorHAnsi" w:hAnsiTheme="minorHAnsi" w:cstheme="minorHAnsi"/>
          <w:b/>
          <w:color w:val="C00000"/>
        </w:rPr>
        <w:t>Pathinayake, Athula</w:t>
      </w:r>
      <w:r w:rsidRPr="009A0798">
        <w:rPr>
          <w:rFonts w:asciiTheme="minorHAnsi" w:hAnsiTheme="minorHAnsi" w:cstheme="minorHAnsi"/>
          <w:color w:val="C00000"/>
        </w:rPr>
        <w:t xml:space="preserve"> </w:t>
      </w:r>
      <w:r w:rsidRPr="009A0798">
        <w:rPr>
          <w:rFonts w:asciiTheme="minorHAnsi" w:hAnsiTheme="minorHAnsi" w:cstheme="minorHAnsi"/>
        </w:rPr>
        <w:t>‘</w:t>
      </w:r>
      <w:proofErr w:type="gramStart"/>
      <w:r w:rsidRPr="009A0798">
        <w:rPr>
          <w:rFonts w:asciiTheme="minorHAnsi" w:hAnsiTheme="minorHAnsi" w:cstheme="minorHAnsi"/>
        </w:rPr>
        <w:t>The</w:t>
      </w:r>
      <w:proofErr w:type="gramEnd"/>
      <w:r w:rsidRPr="009A0798">
        <w:rPr>
          <w:rFonts w:asciiTheme="minorHAnsi" w:hAnsiTheme="minorHAnsi" w:cstheme="minorHAnsi"/>
        </w:rPr>
        <w:t xml:space="preserve"> paradox of parity in sentencing in Australia: the pursuit of equal justice that highlights the futility of consistency in sentencing’, (2013) 77</w:t>
      </w:r>
      <w:r w:rsidR="00D644D1" w:rsidRPr="009A0798">
        <w:rPr>
          <w:rFonts w:asciiTheme="minorHAnsi" w:hAnsiTheme="minorHAnsi" w:cstheme="minorHAnsi"/>
        </w:rPr>
        <w:t xml:space="preserve"> </w:t>
      </w:r>
      <w:r w:rsidRPr="009A0798">
        <w:rPr>
          <w:rFonts w:asciiTheme="minorHAnsi" w:hAnsiTheme="minorHAnsi" w:cstheme="minorHAnsi"/>
          <w:i/>
        </w:rPr>
        <w:t>The Journal of Criminal Law</w:t>
      </w:r>
      <w:r w:rsidRPr="009A0798">
        <w:rPr>
          <w:rFonts w:asciiTheme="minorHAnsi" w:hAnsiTheme="minorHAnsi" w:cstheme="minorHAnsi"/>
        </w:rPr>
        <w:t xml:space="preserve"> 399-416.</w:t>
      </w:r>
      <w:r w:rsidRPr="009A0798">
        <w:rPr>
          <w:rFonts w:asciiTheme="minorHAnsi" w:hAnsiTheme="minorHAnsi" w:cstheme="minorHAnsi"/>
          <w:b/>
          <w:color w:val="0070C0"/>
        </w:rPr>
        <w:t xml:space="preserve"> </w:t>
      </w:r>
      <w:r w:rsidR="00D644D1" w:rsidRPr="009A0798">
        <w:rPr>
          <w:rFonts w:asciiTheme="minorHAnsi" w:hAnsiTheme="minorHAnsi" w:cstheme="minorHAnsi"/>
          <w:b/>
          <w:color w:val="0070C0"/>
        </w:rPr>
        <w:t xml:space="preserve">C1 </w:t>
      </w:r>
      <w:hyperlink r:id="rId9" w:history="1">
        <w:r w:rsidRPr="009A0798">
          <w:rPr>
            <w:rStyle w:val="Hyperlink"/>
            <w:rFonts w:asciiTheme="minorHAnsi" w:hAnsiTheme="minorHAnsi" w:cstheme="minorHAnsi"/>
          </w:rPr>
          <w:t>http://dro.deakin.edu.au/view/DU:30056648</w:t>
        </w:r>
      </w:hyperlink>
    </w:p>
    <w:p w:rsidR="00F916E8" w:rsidRPr="009A0798" w:rsidRDefault="00F916E8" w:rsidP="002E2E15">
      <w:pPr>
        <w:keepLines/>
        <w:numPr>
          <w:ilvl w:val="0"/>
          <w:numId w:val="1"/>
        </w:numPr>
        <w:spacing w:before="40" w:after="120" w:line="280" w:lineRule="atLeast"/>
        <w:rPr>
          <w:rFonts w:asciiTheme="minorHAnsi" w:hAnsiTheme="minorHAnsi" w:cstheme="minorHAnsi"/>
          <w:b/>
          <w:color w:val="0070C0"/>
        </w:rPr>
      </w:pPr>
      <w:r w:rsidRPr="009A0798">
        <w:rPr>
          <w:rFonts w:asciiTheme="minorHAnsi" w:eastAsia="Times New Roman" w:hAnsiTheme="minorHAnsi" w:cstheme="minorHAnsi"/>
          <w:b/>
          <w:color w:val="C00000"/>
        </w:rPr>
        <w:t>Lambropoulos, Victoria</w:t>
      </w:r>
      <w:r w:rsidRPr="009A0798">
        <w:rPr>
          <w:rFonts w:asciiTheme="minorHAnsi" w:eastAsia="Times New Roman" w:hAnsiTheme="minorHAnsi" w:cstheme="minorHAnsi"/>
        </w:rPr>
        <w:t>, ‘</w:t>
      </w:r>
      <w:proofErr w:type="gramStart"/>
      <w:r w:rsidRPr="009A0798">
        <w:rPr>
          <w:rFonts w:asciiTheme="minorHAnsi" w:eastAsia="Times New Roman" w:hAnsiTheme="minorHAnsi" w:cstheme="minorHAnsi"/>
        </w:rPr>
        <w:t>The</w:t>
      </w:r>
      <w:proofErr w:type="gramEnd"/>
      <w:r w:rsidRPr="009A0798">
        <w:rPr>
          <w:rFonts w:asciiTheme="minorHAnsi" w:eastAsia="Times New Roman" w:hAnsiTheme="minorHAnsi" w:cstheme="minorHAnsi"/>
        </w:rPr>
        <w:t xml:space="preserve"> general protections and adverse action: four years on’, </w:t>
      </w:r>
      <w:r w:rsidR="00D644D1" w:rsidRPr="009A0798">
        <w:rPr>
          <w:rFonts w:asciiTheme="minorHAnsi" w:eastAsia="Times New Roman" w:hAnsiTheme="minorHAnsi" w:cstheme="minorHAnsi"/>
        </w:rPr>
        <w:t xml:space="preserve">(2013) </w:t>
      </w:r>
      <w:r w:rsidRPr="009A0798">
        <w:rPr>
          <w:rFonts w:asciiTheme="minorHAnsi" w:eastAsia="Times New Roman" w:hAnsiTheme="minorHAnsi" w:cstheme="minorHAnsi"/>
          <w:i/>
        </w:rPr>
        <w:t>Fair Work L</w:t>
      </w:r>
      <w:r w:rsidR="00D644D1" w:rsidRPr="009A0798">
        <w:rPr>
          <w:rFonts w:asciiTheme="minorHAnsi" w:eastAsia="Times New Roman" w:hAnsiTheme="minorHAnsi" w:cstheme="minorHAnsi"/>
          <w:i/>
        </w:rPr>
        <w:t>egislation</w:t>
      </w:r>
      <w:r w:rsidRPr="009A0798">
        <w:rPr>
          <w:rFonts w:asciiTheme="minorHAnsi" w:eastAsia="Times New Roman" w:hAnsiTheme="minorHAnsi" w:cstheme="minorHAnsi"/>
        </w:rPr>
        <w:t>, Thomson Reuters, NSW,</w:t>
      </w:r>
      <w:r w:rsidR="00D644D1" w:rsidRPr="009A0798">
        <w:rPr>
          <w:rFonts w:asciiTheme="minorHAnsi" w:eastAsia="Times New Roman" w:hAnsiTheme="minorHAnsi" w:cstheme="minorHAnsi"/>
        </w:rPr>
        <w:t xml:space="preserve"> </w:t>
      </w:r>
      <w:r w:rsidRPr="009A0798">
        <w:rPr>
          <w:rFonts w:asciiTheme="minorHAnsi" w:eastAsia="Times New Roman" w:hAnsiTheme="minorHAnsi" w:cstheme="minorHAnsi"/>
        </w:rPr>
        <w:t xml:space="preserve">13-21. </w:t>
      </w:r>
      <w:r w:rsidR="00D644D1" w:rsidRPr="009A0798">
        <w:rPr>
          <w:rFonts w:asciiTheme="minorHAnsi" w:eastAsia="Times New Roman" w:hAnsiTheme="minorHAnsi" w:cstheme="minorHAnsi"/>
        </w:rPr>
        <w:t xml:space="preserve">B1 </w:t>
      </w:r>
      <w:hyperlink r:id="rId10" w:history="1">
        <w:r w:rsidRPr="009A0798">
          <w:rPr>
            <w:rStyle w:val="Hyperlink"/>
            <w:rFonts w:asciiTheme="minorHAnsi" w:eastAsia="Times New Roman" w:hAnsiTheme="minorHAnsi" w:cstheme="minorHAnsi"/>
          </w:rPr>
          <w:t>http://dro.deakin.edu.au/view/DU:30056182</w:t>
        </w:r>
      </w:hyperlink>
    </w:p>
    <w:p w:rsidR="00493001" w:rsidRPr="009A0798" w:rsidRDefault="00D644D1" w:rsidP="002E2E15">
      <w:pPr>
        <w:keepLines/>
        <w:numPr>
          <w:ilvl w:val="0"/>
          <w:numId w:val="1"/>
        </w:numPr>
        <w:spacing w:before="40" w:after="120" w:line="280" w:lineRule="atLeast"/>
        <w:rPr>
          <w:rFonts w:asciiTheme="minorHAnsi" w:hAnsiTheme="minorHAnsi" w:cstheme="minorHAnsi"/>
          <w:b/>
          <w:color w:val="0070C0"/>
        </w:rPr>
      </w:pPr>
      <w:r w:rsidRPr="009A0798">
        <w:rPr>
          <w:rFonts w:asciiTheme="minorHAnsi" w:eastAsia="Times New Roman" w:hAnsiTheme="minorHAnsi" w:cstheme="minorHAnsi"/>
          <w:b/>
          <w:color w:val="C00000"/>
        </w:rPr>
        <w:t>Lambropoulos, Victoria</w:t>
      </w:r>
      <w:r w:rsidRPr="009A0798">
        <w:rPr>
          <w:rFonts w:asciiTheme="minorHAnsi" w:eastAsia="Times New Roman" w:hAnsiTheme="minorHAnsi" w:cstheme="minorHAnsi"/>
        </w:rPr>
        <w:t xml:space="preserve">, </w:t>
      </w:r>
      <w:proofErr w:type="spellStart"/>
      <w:r w:rsidRPr="009A0798">
        <w:rPr>
          <w:rFonts w:asciiTheme="minorHAnsi" w:eastAsia="Times New Roman" w:hAnsiTheme="minorHAnsi" w:cstheme="minorHAnsi"/>
        </w:rPr>
        <w:t>Rinaldi</w:t>
      </w:r>
      <w:proofErr w:type="spellEnd"/>
      <w:r w:rsidRPr="009A0798">
        <w:rPr>
          <w:rFonts w:asciiTheme="minorHAnsi" w:eastAsia="Times New Roman" w:hAnsiTheme="minorHAnsi" w:cstheme="minorHAnsi"/>
        </w:rPr>
        <w:t xml:space="preserve">, Mark &amp; Millar, </w:t>
      </w:r>
      <w:proofErr w:type="spellStart"/>
      <w:r w:rsidRPr="009A0798">
        <w:rPr>
          <w:rFonts w:asciiTheme="minorHAnsi" w:eastAsia="Times New Roman" w:hAnsiTheme="minorHAnsi" w:cstheme="minorHAnsi"/>
        </w:rPr>
        <w:t>Rohan</w:t>
      </w:r>
      <w:proofErr w:type="spellEnd"/>
      <w:r w:rsidRPr="009A0798">
        <w:rPr>
          <w:rFonts w:asciiTheme="minorHAnsi" w:eastAsia="Times New Roman" w:hAnsiTheme="minorHAnsi" w:cstheme="minorHAnsi"/>
        </w:rPr>
        <w:t xml:space="preserve">, ‘Year in Review 2012-2013’, (2013) </w:t>
      </w:r>
      <w:r w:rsidRPr="009A0798">
        <w:rPr>
          <w:rFonts w:asciiTheme="minorHAnsi" w:eastAsia="Times New Roman" w:hAnsiTheme="minorHAnsi" w:cstheme="minorHAnsi"/>
          <w:i/>
        </w:rPr>
        <w:t>Fair Work Legislation</w:t>
      </w:r>
      <w:r w:rsidRPr="009A0798">
        <w:rPr>
          <w:rFonts w:asciiTheme="minorHAnsi" w:eastAsia="Times New Roman" w:hAnsiTheme="minorHAnsi" w:cstheme="minorHAnsi"/>
        </w:rPr>
        <w:t>, Thomson Reuters, NSW</w:t>
      </w:r>
      <w:proofErr w:type="gramStart"/>
      <w:r w:rsidRPr="009A0798">
        <w:rPr>
          <w:rFonts w:asciiTheme="minorHAnsi" w:eastAsia="Times New Roman" w:hAnsiTheme="minorHAnsi" w:cstheme="minorHAnsi"/>
        </w:rPr>
        <w:t>,1</w:t>
      </w:r>
      <w:proofErr w:type="gramEnd"/>
      <w:r w:rsidRPr="009A0798">
        <w:rPr>
          <w:rFonts w:asciiTheme="minorHAnsi" w:eastAsia="Times New Roman" w:hAnsiTheme="minorHAnsi" w:cstheme="minorHAnsi"/>
        </w:rPr>
        <w:t xml:space="preserve">-12. B1 </w:t>
      </w:r>
      <w:hyperlink r:id="rId11" w:history="1">
        <w:r w:rsidRPr="009A0798">
          <w:rPr>
            <w:rStyle w:val="Hyperlink"/>
            <w:rFonts w:asciiTheme="minorHAnsi" w:eastAsia="Times New Roman" w:hAnsiTheme="minorHAnsi" w:cstheme="minorHAnsi"/>
          </w:rPr>
          <w:t>http://dro.deakin.edu.au/view/DU:30056183</w:t>
        </w:r>
      </w:hyperlink>
      <w:r w:rsidRPr="009A0798">
        <w:rPr>
          <w:rFonts w:asciiTheme="minorHAnsi" w:eastAsia="Times New Roman" w:hAnsiTheme="minorHAnsi" w:cstheme="minorHAnsi"/>
        </w:rPr>
        <w:t>.</w:t>
      </w:r>
    </w:p>
    <w:p w:rsidR="009A0798" w:rsidRDefault="004850B5" w:rsidP="009A0798">
      <w:pPr>
        <w:keepLines/>
        <w:numPr>
          <w:ilvl w:val="0"/>
          <w:numId w:val="1"/>
        </w:numPr>
        <w:spacing w:before="40" w:after="120" w:line="280" w:lineRule="atLeast"/>
        <w:rPr>
          <w:rFonts w:asciiTheme="minorHAnsi" w:hAnsiTheme="minorHAnsi" w:cstheme="minorHAnsi"/>
          <w:color w:val="0070C0"/>
        </w:rPr>
      </w:pPr>
      <w:r w:rsidRPr="009A0798">
        <w:rPr>
          <w:rFonts w:asciiTheme="minorHAnsi" w:hAnsiTheme="minorHAnsi" w:cstheme="minorHAnsi"/>
          <w:b/>
          <w:color w:val="C00000"/>
        </w:rPr>
        <w:t xml:space="preserve">Louise </w:t>
      </w:r>
      <w:r w:rsidR="009A0798" w:rsidRPr="009A0798">
        <w:rPr>
          <w:rFonts w:asciiTheme="minorHAnsi" w:hAnsiTheme="minorHAnsi" w:cstheme="minorHAnsi"/>
          <w:b/>
          <w:color w:val="C00000"/>
        </w:rPr>
        <w:t>Kyle</w:t>
      </w:r>
      <w:r w:rsidR="009A0798" w:rsidRPr="009A0798">
        <w:rPr>
          <w:rFonts w:asciiTheme="minorHAnsi" w:hAnsiTheme="minorHAnsi" w:cstheme="minorHAnsi"/>
        </w:rPr>
        <w:t>, ‘</w:t>
      </w:r>
      <w:r w:rsidR="009A0798" w:rsidRPr="009A0798">
        <w:rPr>
          <w:rFonts w:asciiTheme="minorHAnsi" w:hAnsiTheme="minorHAnsi" w:cstheme="minorHAnsi"/>
          <w:bCs/>
        </w:rPr>
        <w:t xml:space="preserve">Out of the Shadows: a Discussion on Law Reform for the Prevention of Financial Abuse of Older People’ </w:t>
      </w:r>
      <w:r w:rsidR="009A0798" w:rsidRPr="009A0798">
        <w:rPr>
          <w:rFonts w:asciiTheme="minorHAnsi" w:hAnsiTheme="minorHAnsi" w:cstheme="minorHAnsi"/>
        </w:rPr>
        <w:t xml:space="preserve">(2013) 7 </w:t>
      </w:r>
      <w:r w:rsidR="009A0798" w:rsidRPr="009A0798">
        <w:rPr>
          <w:rFonts w:asciiTheme="minorHAnsi" w:hAnsiTheme="minorHAnsi" w:cstheme="minorHAnsi"/>
          <w:i/>
        </w:rPr>
        <w:t>Elder Law Review</w:t>
      </w:r>
      <w:r w:rsidR="009A0798" w:rsidRPr="009A0798">
        <w:rPr>
          <w:rFonts w:asciiTheme="minorHAnsi" w:hAnsiTheme="minorHAnsi" w:cstheme="minorHAnsi"/>
        </w:rPr>
        <w:t xml:space="preserve">, </w:t>
      </w:r>
      <w:r w:rsidR="009A0798" w:rsidRPr="009A0798">
        <w:rPr>
          <w:rFonts w:asciiTheme="minorHAnsi" w:hAnsiTheme="minorHAnsi" w:cstheme="minorHAnsi"/>
          <w:bCs/>
        </w:rPr>
        <w:t>1-32</w:t>
      </w:r>
      <w:r w:rsidR="009A0798">
        <w:rPr>
          <w:rFonts w:asciiTheme="minorHAnsi" w:hAnsiTheme="minorHAnsi" w:cstheme="minorHAnsi"/>
          <w:bCs/>
        </w:rPr>
        <w:t xml:space="preserve"> (electronic journal) </w:t>
      </w:r>
      <w:hyperlink r:id="rId12" w:history="1">
        <w:r w:rsidR="00C66299" w:rsidRPr="00C66299">
          <w:rPr>
            <w:rStyle w:val="Hyperlink"/>
            <w:rFonts w:asciiTheme="minorHAnsi" w:hAnsiTheme="minorHAnsi" w:cstheme="minorHAnsi"/>
          </w:rPr>
          <w:t>http://www.uws.edu.au/elr/elder_law/elder_law_review_volume_7</w:t>
        </w:r>
      </w:hyperlink>
    </w:p>
    <w:p w:rsidR="00625EF6" w:rsidRPr="00625EF6" w:rsidRDefault="00625EF6" w:rsidP="009A0798">
      <w:pPr>
        <w:keepLines/>
        <w:numPr>
          <w:ilvl w:val="0"/>
          <w:numId w:val="1"/>
        </w:numPr>
        <w:spacing w:before="40" w:after="120" w:line="280" w:lineRule="atLeast"/>
        <w:rPr>
          <w:rFonts w:asciiTheme="minorHAnsi" w:hAnsiTheme="minorHAnsi" w:cstheme="minorHAnsi"/>
        </w:rPr>
      </w:pPr>
      <w:r>
        <w:rPr>
          <w:rFonts w:asciiTheme="minorHAnsi" w:hAnsiTheme="minorHAnsi" w:cstheme="minorHAnsi"/>
          <w:b/>
          <w:color w:val="C00000"/>
        </w:rPr>
        <w:t>Bryan Tan &amp; Kim Teh</w:t>
      </w:r>
      <w:r w:rsidRPr="00625EF6">
        <w:rPr>
          <w:rFonts w:asciiTheme="minorHAnsi" w:hAnsiTheme="minorHAnsi" w:cstheme="minorHAnsi"/>
        </w:rPr>
        <w:t>, ‘Singapore’, in</w:t>
      </w:r>
      <w:r w:rsidRPr="00625EF6">
        <w:rPr>
          <w:rFonts w:asciiTheme="minorHAnsi" w:hAnsiTheme="minorHAnsi" w:cstheme="minorHAnsi"/>
          <w:b/>
        </w:rPr>
        <w:t xml:space="preserve"> </w:t>
      </w:r>
      <w:r w:rsidRPr="00625EF6">
        <w:rPr>
          <w:rFonts w:asciiTheme="minorHAnsi" w:hAnsiTheme="minorHAnsi" w:cstheme="minorHAnsi"/>
          <w:i/>
        </w:rPr>
        <w:t>Handbook of Comparative Higher Education Law</w:t>
      </w:r>
      <w:r w:rsidRPr="00625EF6">
        <w:rPr>
          <w:rFonts w:asciiTheme="minorHAnsi" w:hAnsiTheme="minorHAnsi" w:cstheme="minorHAnsi"/>
        </w:rPr>
        <w:t xml:space="preserve">, CJ Russo </w:t>
      </w:r>
      <w:proofErr w:type="spellStart"/>
      <w:r w:rsidRPr="00625EF6">
        <w:rPr>
          <w:rFonts w:asciiTheme="minorHAnsi" w:hAnsiTheme="minorHAnsi" w:cstheme="minorHAnsi"/>
        </w:rPr>
        <w:t>ed</w:t>
      </w:r>
      <w:proofErr w:type="spellEnd"/>
      <w:r w:rsidRPr="00625EF6">
        <w:rPr>
          <w:rFonts w:asciiTheme="minorHAnsi" w:hAnsiTheme="minorHAnsi" w:cstheme="minorHAnsi"/>
        </w:rPr>
        <w:t xml:space="preserve">, </w:t>
      </w:r>
      <w:proofErr w:type="spellStart"/>
      <w:r w:rsidRPr="00625EF6">
        <w:rPr>
          <w:rFonts w:asciiTheme="minorHAnsi" w:hAnsiTheme="minorHAnsi" w:cstheme="minorHAnsi"/>
        </w:rPr>
        <w:t>Rowman</w:t>
      </w:r>
      <w:proofErr w:type="spellEnd"/>
      <w:r w:rsidRPr="00625EF6">
        <w:rPr>
          <w:rFonts w:asciiTheme="minorHAnsi" w:hAnsiTheme="minorHAnsi" w:cstheme="minorHAnsi"/>
        </w:rPr>
        <w:t xml:space="preserve"> &amp; Littlefield Education, UK, 275-291</w:t>
      </w:r>
      <w:r>
        <w:rPr>
          <w:rFonts w:asciiTheme="minorHAnsi" w:hAnsiTheme="minorHAnsi" w:cstheme="minorHAnsi"/>
        </w:rPr>
        <w:t>.</w:t>
      </w:r>
      <w:r w:rsidRPr="00625EF6">
        <w:rPr>
          <w:rFonts w:asciiTheme="minorHAnsi" w:hAnsiTheme="minorHAnsi" w:cstheme="minorHAnsi"/>
        </w:rPr>
        <w:t xml:space="preserve"> B1  </w:t>
      </w:r>
    </w:p>
    <w:p w:rsidR="00493001" w:rsidRPr="00493001" w:rsidRDefault="00493001" w:rsidP="00493001">
      <w:pPr>
        <w:keepLines/>
        <w:spacing w:before="40" w:after="120" w:line="280" w:lineRule="atLeast"/>
        <w:rPr>
          <w:rFonts w:asciiTheme="minorHAnsi" w:hAnsiTheme="minorHAnsi" w:cstheme="minorHAnsi"/>
          <w:b/>
          <w:color w:val="0070C0"/>
        </w:rPr>
      </w:pPr>
    </w:p>
    <w:p w:rsidR="0002759A" w:rsidRDefault="0002759A" w:rsidP="00493001">
      <w:pPr>
        <w:keepLines/>
        <w:spacing w:before="40" w:after="120" w:line="280" w:lineRule="atLeast"/>
        <w:ind w:left="414" w:firstLine="720"/>
        <w:rPr>
          <w:rFonts w:asciiTheme="minorHAnsi" w:hAnsiTheme="minorHAnsi" w:cstheme="minorHAnsi"/>
          <w:b/>
          <w:color w:val="C00000"/>
          <w:sz w:val="28"/>
          <w:szCs w:val="28"/>
        </w:rPr>
      </w:pPr>
    </w:p>
    <w:p w:rsidR="0002759A" w:rsidRDefault="0002759A" w:rsidP="00493001">
      <w:pPr>
        <w:keepLines/>
        <w:spacing w:before="40" w:after="120" w:line="280" w:lineRule="atLeast"/>
        <w:ind w:left="414" w:firstLine="720"/>
        <w:rPr>
          <w:rFonts w:asciiTheme="minorHAnsi" w:hAnsiTheme="minorHAnsi" w:cstheme="minorHAnsi"/>
          <w:b/>
          <w:color w:val="C00000"/>
          <w:sz w:val="28"/>
          <w:szCs w:val="28"/>
        </w:rPr>
      </w:pPr>
    </w:p>
    <w:p w:rsidR="00F916E8" w:rsidRDefault="00493001" w:rsidP="00493001">
      <w:pPr>
        <w:keepLines/>
        <w:spacing w:before="40" w:after="120" w:line="280" w:lineRule="atLeast"/>
        <w:ind w:left="414" w:firstLine="720"/>
        <w:rPr>
          <w:rFonts w:asciiTheme="minorHAnsi" w:hAnsiTheme="minorHAnsi" w:cstheme="minorHAnsi"/>
          <w:b/>
          <w:color w:val="C00000"/>
          <w:sz w:val="28"/>
          <w:szCs w:val="28"/>
        </w:rPr>
      </w:pPr>
      <w:r w:rsidRPr="00493001">
        <w:rPr>
          <w:rFonts w:asciiTheme="minorHAnsi" w:hAnsiTheme="minorHAnsi" w:cstheme="minorHAnsi"/>
          <w:b/>
          <w:color w:val="C00000"/>
          <w:sz w:val="28"/>
          <w:szCs w:val="28"/>
        </w:rPr>
        <w:t>RESEARCH IMPACT</w:t>
      </w:r>
    </w:p>
    <w:p w:rsidR="00C66299" w:rsidRPr="00606ADC" w:rsidRDefault="00C66299" w:rsidP="00C66299">
      <w:pPr>
        <w:keepLines/>
        <w:numPr>
          <w:ilvl w:val="0"/>
          <w:numId w:val="1"/>
        </w:numPr>
        <w:spacing w:before="40" w:after="120" w:line="280" w:lineRule="atLeast"/>
        <w:rPr>
          <w:rFonts w:asciiTheme="minorHAnsi" w:hAnsiTheme="minorHAnsi" w:cstheme="minorHAnsi"/>
          <w:color w:val="0070C0"/>
        </w:rPr>
      </w:pPr>
      <w:r w:rsidRPr="00606ADC">
        <w:rPr>
          <w:rFonts w:asciiTheme="minorHAnsi" w:hAnsiTheme="minorHAnsi" w:cstheme="minorHAnsi"/>
          <w:b/>
          <w:color w:val="C00000"/>
        </w:rPr>
        <w:t xml:space="preserve">Lidia </w:t>
      </w:r>
      <w:proofErr w:type="spellStart"/>
      <w:r w:rsidRPr="00606ADC">
        <w:rPr>
          <w:rFonts w:asciiTheme="minorHAnsi" w:hAnsiTheme="minorHAnsi" w:cstheme="minorHAnsi"/>
          <w:b/>
          <w:color w:val="C00000"/>
        </w:rPr>
        <w:t>Xynas</w:t>
      </w:r>
      <w:r w:rsidRPr="00606ADC">
        <w:rPr>
          <w:rFonts w:asciiTheme="minorHAnsi" w:hAnsiTheme="minorHAnsi" w:cstheme="minorHAnsi"/>
          <w:b/>
        </w:rPr>
        <w:t>’s</w:t>
      </w:r>
      <w:proofErr w:type="spellEnd"/>
      <w:r w:rsidRPr="00606ADC">
        <w:rPr>
          <w:rFonts w:asciiTheme="minorHAnsi" w:hAnsiTheme="minorHAnsi" w:cstheme="minorHAnsi"/>
          <w:b/>
          <w:color w:val="C00000"/>
        </w:rPr>
        <w:t xml:space="preserve"> </w:t>
      </w:r>
      <w:r w:rsidRPr="00606ADC">
        <w:rPr>
          <w:rFonts w:asciiTheme="minorHAnsi" w:hAnsiTheme="minorHAnsi" w:cstheme="minorHAnsi"/>
        </w:rPr>
        <w:t>approach to</w:t>
      </w:r>
      <w:r w:rsidRPr="00606ADC">
        <w:rPr>
          <w:rFonts w:asciiTheme="minorHAnsi" w:hAnsiTheme="minorHAnsi" w:cstheme="minorHAnsi"/>
          <w:b/>
        </w:rPr>
        <w:t xml:space="preserve"> </w:t>
      </w:r>
      <w:r w:rsidRPr="00606ADC">
        <w:rPr>
          <w:rFonts w:asciiTheme="minorHAnsi" w:hAnsiTheme="minorHAnsi" w:cstheme="minorHAnsi"/>
        </w:rPr>
        <w:t>succession rights for indigenous people has been followed by the Victorian Law Reform Commission (See footnotes 276 and 278</w:t>
      </w:r>
      <w:r w:rsidRPr="00606ADC">
        <w:rPr>
          <w:rFonts w:asciiTheme="minorHAnsi" w:hAnsiTheme="minorHAnsi" w:cstheme="minorHAnsi"/>
          <w:bCs/>
        </w:rPr>
        <w:t>)</w:t>
      </w:r>
      <w:r w:rsidRPr="00606ADC">
        <w:rPr>
          <w:rFonts w:asciiTheme="minorHAnsi" w:hAnsiTheme="minorHAnsi" w:cstheme="minorHAnsi"/>
        </w:rPr>
        <w:t xml:space="preserve"> </w:t>
      </w:r>
      <w:hyperlink r:id="rId13" w:tgtFrame="_blank" w:history="1">
        <w:r w:rsidRPr="00606ADC">
          <w:rPr>
            <w:rStyle w:val="Hyperlink"/>
            <w:rFonts w:asciiTheme="minorHAnsi" w:hAnsiTheme="minorHAnsi" w:cstheme="minorHAnsi"/>
          </w:rPr>
          <w:t>Victorian Law Reform Commission’s review of succession laws</w:t>
        </w:r>
      </w:hyperlink>
    </w:p>
    <w:p w:rsidR="008A6E34" w:rsidRPr="00606ADC" w:rsidRDefault="00C66299" w:rsidP="008A6E34">
      <w:pPr>
        <w:keepLines/>
        <w:numPr>
          <w:ilvl w:val="0"/>
          <w:numId w:val="1"/>
        </w:numPr>
        <w:spacing w:before="40" w:after="120" w:line="280" w:lineRule="atLeast"/>
        <w:rPr>
          <w:rFonts w:asciiTheme="minorHAnsi" w:hAnsiTheme="minorHAnsi" w:cstheme="minorHAnsi"/>
        </w:rPr>
      </w:pPr>
      <w:r w:rsidRPr="00606ADC">
        <w:rPr>
          <w:rFonts w:asciiTheme="minorHAnsi" w:hAnsiTheme="minorHAnsi" w:cstheme="minorHAnsi"/>
          <w:b/>
          <w:color w:val="C00000"/>
        </w:rPr>
        <w:t xml:space="preserve">Danuta Mendelson </w:t>
      </w:r>
      <w:r w:rsidRPr="00606ADC">
        <w:rPr>
          <w:rFonts w:asciiTheme="minorHAnsi" w:hAnsiTheme="minorHAnsi" w:cstheme="minorHAnsi"/>
        </w:rPr>
        <w:t xml:space="preserve">delivered an invited lecture on </w:t>
      </w:r>
      <w:r w:rsidR="008A6E34" w:rsidRPr="00606ADC">
        <w:rPr>
          <w:rFonts w:asciiTheme="minorHAnsi" w:hAnsiTheme="minorHAnsi" w:cstheme="minorHAnsi"/>
        </w:rPr>
        <w:t>‘</w:t>
      </w:r>
      <w:r w:rsidR="008A6E34" w:rsidRPr="00606ADC">
        <w:rPr>
          <w:rFonts w:asciiTheme="minorHAnsi" w:hAnsiTheme="minorHAnsi" w:cstheme="minorHAnsi"/>
          <w:szCs w:val="36"/>
        </w:rPr>
        <w:t>Minors: Decision-Making Capacity &amp; the Law’, University of Florence 10.10.2013 (see attachment)</w:t>
      </w:r>
    </w:p>
    <w:p w:rsidR="00FD4160" w:rsidRPr="00606ADC" w:rsidRDefault="00FD4160" w:rsidP="00FD4160">
      <w:pPr>
        <w:keepLines/>
        <w:numPr>
          <w:ilvl w:val="0"/>
          <w:numId w:val="1"/>
        </w:numPr>
        <w:spacing w:before="40" w:after="120" w:line="280" w:lineRule="atLeast"/>
        <w:rPr>
          <w:rFonts w:asciiTheme="minorHAnsi" w:hAnsiTheme="minorHAnsi" w:cstheme="minorHAnsi"/>
        </w:rPr>
      </w:pPr>
      <w:r w:rsidRPr="00606ADC">
        <w:rPr>
          <w:rFonts w:asciiTheme="minorHAnsi" w:hAnsiTheme="minorHAnsi" w:cstheme="minorHAnsi"/>
          <w:b/>
          <w:color w:val="C00000"/>
        </w:rPr>
        <w:t xml:space="preserve">Mirko </w:t>
      </w:r>
      <w:proofErr w:type="spellStart"/>
      <w:r w:rsidRPr="00606ADC">
        <w:rPr>
          <w:rFonts w:asciiTheme="minorHAnsi" w:hAnsiTheme="minorHAnsi" w:cstheme="minorHAnsi"/>
          <w:b/>
          <w:color w:val="C00000"/>
        </w:rPr>
        <w:t>Bagaric</w:t>
      </w:r>
      <w:r w:rsidRPr="00606ADC">
        <w:rPr>
          <w:rFonts w:asciiTheme="minorHAnsi" w:hAnsiTheme="minorHAnsi" w:cstheme="minorHAnsi"/>
          <w:b/>
        </w:rPr>
        <w:t>’s</w:t>
      </w:r>
      <w:proofErr w:type="spellEnd"/>
      <w:r w:rsidR="00606ADC" w:rsidRPr="00606ADC">
        <w:rPr>
          <w:rFonts w:asciiTheme="minorHAnsi" w:hAnsiTheme="minorHAnsi" w:cstheme="minorHAnsi"/>
          <w:b/>
        </w:rPr>
        <w:t xml:space="preserve"> </w:t>
      </w:r>
      <w:r w:rsidR="00606ADC" w:rsidRPr="00606ADC">
        <w:rPr>
          <w:rFonts w:asciiTheme="minorHAnsi" w:hAnsiTheme="minorHAnsi" w:cstheme="minorHAnsi"/>
        </w:rPr>
        <w:t>main</w:t>
      </w:r>
      <w:r w:rsidRPr="00606ADC">
        <w:rPr>
          <w:rFonts w:asciiTheme="minorHAnsi" w:hAnsiTheme="minorHAnsi" w:cstheme="minorHAnsi"/>
          <w:color w:val="C00000"/>
        </w:rPr>
        <w:t xml:space="preserve"> </w:t>
      </w:r>
      <w:r w:rsidRPr="00606ADC">
        <w:rPr>
          <w:rFonts w:asciiTheme="minorHAnsi" w:hAnsiTheme="minorHAnsi" w:cstheme="minorHAnsi"/>
          <w:color w:val="000000"/>
        </w:rPr>
        <w:t xml:space="preserve">research project is the implementation of national uniform sentencing laws. </w:t>
      </w:r>
      <w:r w:rsidR="00606ADC" w:rsidRPr="00606ADC">
        <w:rPr>
          <w:rFonts w:asciiTheme="minorHAnsi" w:hAnsiTheme="minorHAnsi" w:cstheme="minorHAnsi"/>
          <w:color w:val="000000"/>
        </w:rPr>
        <w:t xml:space="preserve">The </w:t>
      </w:r>
      <w:r w:rsidRPr="00606ADC">
        <w:rPr>
          <w:rFonts w:asciiTheme="minorHAnsi" w:hAnsiTheme="minorHAnsi" w:cstheme="minorHAnsi"/>
          <w:color w:val="000000"/>
        </w:rPr>
        <w:t xml:space="preserve">only academic in Australia undertaking this project, </w:t>
      </w:r>
      <w:r w:rsidR="00606ADC" w:rsidRPr="00606ADC">
        <w:rPr>
          <w:rFonts w:asciiTheme="minorHAnsi" w:hAnsiTheme="minorHAnsi" w:cstheme="minorHAnsi"/>
          <w:color w:val="000000"/>
        </w:rPr>
        <w:t xml:space="preserve">Mirko’s methodology involves </w:t>
      </w:r>
      <w:r w:rsidRPr="00606ADC">
        <w:rPr>
          <w:rFonts w:asciiTheme="minorHAnsi" w:hAnsiTheme="minorHAnsi" w:cstheme="minorHAnsi"/>
          <w:color w:val="000000"/>
        </w:rPr>
        <w:t xml:space="preserve">one to one meetings with the Attorney General's in each jurisdiction. His first meeting was with South Australian Attorney General and Deputy Premier on 15 October 2013. At the meeting the Attorney General agreed that he would </w:t>
      </w:r>
      <w:r w:rsidR="00606ADC" w:rsidRPr="00606ADC">
        <w:rPr>
          <w:rFonts w:asciiTheme="minorHAnsi" w:hAnsiTheme="minorHAnsi" w:cstheme="minorHAnsi"/>
          <w:color w:val="000000"/>
        </w:rPr>
        <w:t xml:space="preserve">collaborate </w:t>
      </w:r>
      <w:r w:rsidRPr="00606ADC">
        <w:rPr>
          <w:rFonts w:asciiTheme="minorHAnsi" w:hAnsiTheme="minorHAnsi" w:cstheme="minorHAnsi"/>
          <w:color w:val="000000"/>
        </w:rPr>
        <w:t xml:space="preserve">with Mirko </w:t>
      </w:r>
      <w:r w:rsidR="00606ADC" w:rsidRPr="00606ADC">
        <w:rPr>
          <w:rFonts w:asciiTheme="minorHAnsi" w:hAnsiTheme="minorHAnsi" w:cstheme="minorHAnsi"/>
          <w:color w:val="000000"/>
        </w:rPr>
        <w:t xml:space="preserve">in </w:t>
      </w:r>
      <w:r w:rsidRPr="00606ADC">
        <w:rPr>
          <w:rFonts w:asciiTheme="minorHAnsi" w:hAnsiTheme="minorHAnsi" w:cstheme="minorHAnsi"/>
          <w:color w:val="000000"/>
        </w:rPr>
        <w:t>draft</w:t>
      </w:r>
      <w:r w:rsidR="00606ADC" w:rsidRPr="00606ADC">
        <w:rPr>
          <w:rFonts w:asciiTheme="minorHAnsi" w:hAnsiTheme="minorHAnsi" w:cstheme="minorHAnsi"/>
          <w:color w:val="000000"/>
        </w:rPr>
        <w:t>ing</w:t>
      </w:r>
      <w:r w:rsidRPr="00606ADC">
        <w:rPr>
          <w:rFonts w:asciiTheme="minorHAnsi" w:hAnsiTheme="minorHAnsi" w:cstheme="minorHAnsi"/>
          <w:color w:val="000000"/>
        </w:rPr>
        <w:t xml:space="preserve"> sentencing laws based on Mirko's recommendations, commencing April 2014. </w:t>
      </w:r>
    </w:p>
    <w:p w:rsidR="00FD4160" w:rsidRPr="00606ADC" w:rsidRDefault="00606ADC" w:rsidP="00FD4160">
      <w:pPr>
        <w:keepLines/>
        <w:numPr>
          <w:ilvl w:val="0"/>
          <w:numId w:val="1"/>
        </w:numPr>
        <w:spacing w:before="40" w:after="120" w:line="280" w:lineRule="atLeast"/>
        <w:rPr>
          <w:rFonts w:asciiTheme="minorHAnsi" w:hAnsiTheme="minorHAnsi" w:cstheme="minorHAnsi"/>
        </w:rPr>
      </w:pPr>
      <w:r w:rsidRPr="00606ADC">
        <w:rPr>
          <w:rFonts w:asciiTheme="minorHAnsi" w:hAnsiTheme="minorHAnsi" w:cstheme="minorHAnsi"/>
          <w:color w:val="000000"/>
        </w:rPr>
        <w:t>I</w:t>
      </w:r>
      <w:r w:rsidR="00FD4160" w:rsidRPr="00606ADC">
        <w:rPr>
          <w:rFonts w:asciiTheme="minorHAnsi" w:hAnsiTheme="minorHAnsi" w:cstheme="minorHAnsi"/>
          <w:color w:val="000000"/>
        </w:rPr>
        <w:t>n the next three weeks</w:t>
      </w:r>
      <w:r w:rsidRPr="00606ADC">
        <w:rPr>
          <w:rFonts w:asciiTheme="minorHAnsi" w:hAnsiTheme="minorHAnsi" w:cstheme="minorHAnsi"/>
          <w:color w:val="000000"/>
        </w:rPr>
        <w:t xml:space="preserve">, Mirko will the Attorney Generals of NSW, ACT and </w:t>
      </w:r>
      <w:proofErr w:type="spellStart"/>
      <w:r w:rsidRPr="00606ADC">
        <w:rPr>
          <w:rFonts w:asciiTheme="minorHAnsi" w:hAnsiTheme="minorHAnsi" w:cstheme="minorHAnsi"/>
          <w:color w:val="000000"/>
        </w:rPr>
        <w:t>Qld</w:t>
      </w:r>
      <w:proofErr w:type="spellEnd"/>
      <w:r w:rsidR="00FD4160" w:rsidRPr="00606ADC">
        <w:rPr>
          <w:rFonts w:asciiTheme="minorHAnsi" w:hAnsiTheme="minorHAnsi" w:cstheme="minorHAnsi"/>
          <w:color w:val="000000"/>
        </w:rPr>
        <w:t xml:space="preserve"> to advance the project.</w:t>
      </w:r>
    </w:p>
    <w:p w:rsidR="00C66299" w:rsidRDefault="00C66299" w:rsidP="0014311E">
      <w:pPr>
        <w:pStyle w:val="BodyText"/>
        <w:rPr>
          <w:rFonts w:asciiTheme="minorHAnsi" w:hAnsiTheme="minorHAnsi" w:cstheme="minorHAnsi"/>
          <w:sz w:val="20"/>
          <w:szCs w:val="20"/>
        </w:rPr>
      </w:pPr>
    </w:p>
    <w:p w:rsidR="0014311E" w:rsidRPr="003E0C95" w:rsidRDefault="0014311E" w:rsidP="0014311E">
      <w:pPr>
        <w:pStyle w:val="BodyText"/>
        <w:rPr>
          <w:rFonts w:asciiTheme="minorHAnsi" w:hAnsiTheme="minorHAnsi" w:cstheme="minorHAnsi"/>
          <w:b/>
          <w:color w:val="008000"/>
        </w:rPr>
      </w:pPr>
      <w:r w:rsidRPr="003E0C95">
        <w:rPr>
          <w:rFonts w:asciiTheme="minorHAnsi" w:hAnsiTheme="minorHAnsi" w:cstheme="minorHAnsi"/>
          <w:sz w:val="20"/>
          <w:szCs w:val="20"/>
        </w:rPr>
        <w:t> </w:t>
      </w:r>
      <w:r w:rsidRPr="003E0C95">
        <w:rPr>
          <w:rFonts w:asciiTheme="minorHAnsi" w:hAnsiTheme="minorHAnsi" w:cstheme="minorHAnsi"/>
          <w:b/>
          <w:color w:val="008000"/>
          <w:sz w:val="28"/>
          <w:szCs w:val="28"/>
        </w:rPr>
        <w:t>LAW SCHOOL RESEARCH SEMINAR SCHEDULE</w:t>
      </w:r>
    </w:p>
    <w:p w:rsidR="0014311E" w:rsidRPr="003E0C95" w:rsidRDefault="0014311E" w:rsidP="0014311E">
      <w:pPr>
        <w:keepLines/>
        <w:numPr>
          <w:ilvl w:val="0"/>
          <w:numId w:val="1"/>
        </w:numPr>
        <w:spacing w:before="40" w:after="120" w:line="280" w:lineRule="atLeast"/>
        <w:rPr>
          <w:rFonts w:asciiTheme="minorHAnsi" w:hAnsiTheme="minorHAnsi" w:cstheme="minorHAnsi"/>
          <w:b/>
          <w:color w:val="0070C0"/>
        </w:rPr>
      </w:pPr>
    </w:p>
    <w:p w:rsidR="0014311E" w:rsidRPr="003E0C95" w:rsidRDefault="0014311E" w:rsidP="0014311E">
      <w:pPr>
        <w:keepLines/>
        <w:numPr>
          <w:ilvl w:val="0"/>
          <w:numId w:val="1"/>
        </w:numPr>
        <w:spacing w:before="40" w:after="120" w:line="280" w:lineRule="atLeast"/>
        <w:rPr>
          <w:rFonts w:asciiTheme="minorHAnsi" w:hAnsiTheme="minorHAnsi" w:cstheme="minorHAnsi"/>
          <w:b/>
          <w:color w:val="0070C0"/>
        </w:rPr>
      </w:pPr>
      <w:r w:rsidRPr="003E0C95">
        <w:rPr>
          <w:rFonts w:asciiTheme="minorHAnsi" w:hAnsiTheme="minorHAnsi" w:cstheme="minorHAnsi"/>
          <w:b/>
          <w:color w:val="0070C0"/>
        </w:rPr>
        <w:t>Trimester 3</w:t>
      </w:r>
    </w:p>
    <w:p w:rsidR="002E2E15" w:rsidRDefault="002E2E15" w:rsidP="0014311E">
      <w:pPr>
        <w:keepLines/>
        <w:numPr>
          <w:ilvl w:val="0"/>
          <w:numId w:val="1"/>
        </w:numPr>
        <w:spacing w:before="40" w:after="120" w:line="280" w:lineRule="atLeast"/>
        <w:rPr>
          <w:rFonts w:asciiTheme="minorHAnsi" w:hAnsiTheme="minorHAnsi" w:cstheme="minorHAnsi"/>
          <w:b/>
          <w:color w:val="7030A0"/>
        </w:rPr>
      </w:pPr>
      <w:r>
        <w:rPr>
          <w:rFonts w:asciiTheme="minorHAnsi" w:hAnsiTheme="minorHAnsi" w:cstheme="minorHAnsi"/>
          <w:b/>
          <w:color w:val="7030A0"/>
        </w:rPr>
        <w:t>FRIDAY, 8 NOVEMBER</w:t>
      </w:r>
    </w:p>
    <w:p w:rsidR="002E2E15" w:rsidRPr="00017681" w:rsidRDefault="002E2E15" w:rsidP="0014311E">
      <w:pPr>
        <w:keepLines/>
        <w:numPr>
          <w:ilvl w:val="0"/>
          <w:numId w:val="1"/>
        </w:numPr>
        <w:spacing w:before="40" w:after="120" w:line="280" w:lineRule="atLeast"/>
        <w:rPr>
          <w:rFonts w:asciiTheme="minorHAnsi" w:hAnsiTheme="minorHAnsi" w:cstheme="minorHAnsi"/>
          <w:b/>
          <w:color w:val="C00000"/>
        </w:rPr>
      </w:pPr>
      <w:r w:rsidRPr="00017681">
        <w:rPr>
          <w:rFonts w:asciiTheme="minorHAnsi" w:hAnsiTheme="minorHAnsi" w:cstheme="minorHAnsi"/>
          <w:b/>
          <w:color w:val="C00000"/>
        </w:rPr>
        <w:t>Rachel Carter</w:t>
      </w:r>
    </w:p>
    <w:p w:rsidR="0014311E" w:rsidRDefault="0014311E" w:rsidP="0014311E">
      <w:pPr>
        <w:keepLines/>
        <w:numPr>
          <w:ilvl w:val="0"/>
          <w:numId w:val="1"/>
        </w:numPr>
        <w:spacing w:before="40" w:after="120" w:line="280" w:lineRule="atLeast"/>
        <w:rPr>
          <w:rFonts w:asciiTheme="minorHAnsi" w:hAnsiTheme="minorHAnsi" w:cstheme="minorHAnsi"/>
          <w:b/>
          <w:color w:val="7030A0"/>
        </w:rPr>
      </w:pPr>
      <w:r w:rsidRPr="003E0C95">
        <w:rPr>
          <w:rFonts w:asciiTheme="minorHAnsi" w:eastAsia="Times New Roman" w:hAnsiTheme="minorHAnsi" w:cstheme="minorHAnsi"/>
          <w:b/>
          <w:color w:val="7030A0"/>
        </w:rPr>
        <w:t xml:space="preserve">FRIDAY </w:t>
      </w:r>
      <w:r>
        <w:rPr>
          <w:rFonts w:asciiTheme="minorHAnsi" w:eastAsia="Times New Roman" w:hAnsiTheme="minorHAnsi" w:cstheme="minorHAnsi"/>
          <w:b/>
          <w:color w:val="7030A0"/>
        </w:rPr>
        <w:t>15 or 22 NOVEMBER</w:t>
      </w:r>
    </w:p>
    <w:p w:rsidR="0014311E" w:rsidRPr="003E0C95" w:rsidRDefault="0014311E" w:rsidP="0014311E">
      <w:pPr>
        <w:keepLines/>
        <w:numPr>
          <w:ilvl w:val="0"/>
          <w:numId w:val="1"/>
        </w:numPr>
        <w:spacing w:before="40" w:after="120" w:line="280" w:lineRule="atLeast"/>
        <w:rPr>
          <w:rFonts w:asciiTheme="minorHAnsi" w:hAnsiTheme="minorHAnsi" w:cstheme="minorHAnsi"/>
          <w:b/>
          <w:color w:val="C00000"/>
        </w:rPr>
      </w:pPr>
      <w:r w:rsidRPr="003E0C95">
        <w:rPr>
          <w:rFonts w:asciiTheme="minorHAnsi" w:hAnsiTheme="minorHAnsi" w:cstheme="minorHAnsi"/>
          <w:b/>
          <w:color w:val="C00000"/>
        </w:rPr>
        <w:t>Oscar Roos</w:t>
      </w:r>
    </w:p>
    <w:p w:rsidR="0014311E" w:rsidRPr="003E0C95" w:rsidRDefault="0014311E" w:rsidP="0014311E">
      <w:pPr>
        <w:keepLines/>
        <w:numPr>
          <w:ilvl w:val="0"/>
          <w:numId w:val="1"/>
        </w:numPr>
        <w:spacing w:before="40" w:after="120" w:line="280" w:lineRule="atLeast"/>
        <w:rPr>
          <w:rFonts w:asciiTheme="minorHAnsi" w:hAnsiTheme="minorHAnsi" w:cstheme="minorHAnsi"/>
          <w:b/>
          <w:color w:val="0070C0"/>
          <w:sz w:val="22"/>
          <w:szCs w:val="22"/>
        </w:rPr>
      </w:pPr>
      <w:r w:rsidRPr="003E0C95">
        <w:rPr>
          <w:rFonts w:asciiTheme="minorHAnsi" w:hAnsiTheme="minorHAnsi" w:cstheme="minorHAnsi"/>
          <w:color w:val="002060"/>
          <w:sz w:val="22"/>
          <w:szCs w:val="22"/>
        </w:rPr>
        <w:t xml:space="preserve">'Section 73 of the Australian Constitution and </w:t>
      </w:r>
      <w:r w:rsidRPr="002E2E15">
        <w:rPr>
          <w:rFonts w:asciiTheme="minorHAnsi" w:hAnsiTheme="minorHAnsi" w:cstheme="minorHAnsi"/>
          <w:i/>
          <w:color w:val="002060"/>
          <w:sz w:val="22"/>
          <w:szCs w:val="22"/>
        </w:rPr>
        <w:t>Kirk v Industrial Court (NSW)</w:t>
      </w:r>
      <w:r w:rsidRPr="003E0C95">
        <w:rPr>
          <w:rFonts w:asciiTheme="minorHAnsi" w:hAnsiTheme="minorHAnsi" w:cstheme="minorHAnsi"/>
          <w:color w:val="002060"/>
          <w:sz w:val="22"/>
          <w:szCs w:val="22"/>
        </w:rPr>
        <w:t> [2010] HCA 1'.</w:t>
      </w:r>
    </w:p>
    <w:p w:rsidR="0014311E" w:rsidRPr="003E0C95" w:rsidRDefault="0014311E" w:rsidP="0014311E">
      <w:pPr>
        <w:keepLines/>
        <w:numPr>
          <w:ilvl w:val="0"/>
          <w:numId w:val="1"/>
        </w:numPr>
        <w:spacing w:before="40" w:after="120" w:line="280" w:lineRule="atLeast"/>
        <w:rPr>
          <w:rFonts w:asciiTheme="minorHAnsi" w:hAnsiTheme="minorHAnsi" w:cstheme="minorHAnsi"/>
          <w:b/>
          <w:color w:val="7030A0"/>
        </w:rPr>
      </w:pPr>
      <w:r w:rsidRPr="003E0C95">
        <w:rPr>
          <w:rFonts w:asciiTheme="minorHAnsi" w:hAnsiTheme="minorHAnsi" w:cstheme="minorHAnsi"/>
          <w:b/>
          <w:color w:val="7030A0"/>
        </w:rPr>
        <w:t>FRIDAY, 13 DECEMBER</w:t>
      </w:r>
    </w:p>
    <w:p w:rsidR="0014311E" w:rsidRPr="003E0C95" w:rsidRDefault="0014311E" w:rsidP="0014311E">
      <w:pPr>
        <w:keepLines/>
        <w:numPr>
          <w:ilvl w:val="0"/>
          <w:numId w:val="1"/>
        </w:numPr>
        <w:spacing w:before="40" w:after="120" w:line="280" w:lineRule="atLeast"/>
        <w:rPr>
          <w:rFonts w:asciiTheme="minorHAnsi" w:hAnsiTheme="minorHAnsi" w:cstheme="minorHAnsi"/>
          <w:b/>
          <w:color w:val="C00000"/>
        </w:rPr>
      </w:pPr>
      <w:r w:rsidRPr="003E0C95">
        <w:rPr>
          <w:rFonts w:asciiTheme="minorHAnsi" w:eastAsiaTheme="minorHAnsi" w:hAnsiTheme="minorHAnsi" w:cstheme="minorHAnsi"/>
          <w:b/>
          <w:bCs/>
          <w:color w:val="C00000"/>
        </w:rPr>
        <w:t xml:space="preserve">Giuseppe Carabetta </w:t>
      </w:r>
    </w:p>
    <w:p w:rsidR="0014311E" w:rsidRPr="003E0C95" w:rsidRDefault="0014311E" w:rsidP="0014311E">
      <w:pPr>
        <w:keepLines/>
        <w:numPr>
          <w:ilvl w:val="0"/>
          <w:numId w:val="1"/>
        </w:numPr>
        <w:spacing w:before="40" w:after="120" w:line="280" w:lineRule="atLeast"/>
        <w:rPr>
          <w:rFonts w:asciiTheme="minorHAnsi" w:hAnsiTheme="minorHAnsi" w:cstheme="minorHAnsi"/>
          <w:color w:val="002060"/>
        </w:rPr>
      </w:pPr>
      <w:r w:rsidRPr="003E0C95">
        <w:rPr>
          <w:rFonts w:asciiTheme="minorHAnsi" w:eastAsiaTheme="minorHAnsi" w:hAnsiTheme="minorHAnsi" w:cstheme="minorHAnsi"/>
          <w:bCs/>
          <w:color w:val="002060"/>
        </w:rPr>
        <w:t xml:space="preserve">‘Police and Industrial Relations’ </w:t>
      </w:r>
    </w:p>
    <w:p w:rsidR="00CE7EA3" w:rsidRPr="00CE7EA3" w:rsidRDefault="00CE7EA3" w:rsidP="0014311E">
      <w:pPr>
        <w:keepLines/>
        <w:numPr>
          <w:ilvl w:val="0"/>
          <w:numId w:val="1"/>
        </w:numPr>
        <w:spacing w:before="40" w:after="120" w:line="280" w:lineRule="atLeast"/>
        <w:rPr>
          <w:rFonts w:asciiTheme="minorHAnsi" w:hAnsiTheme="minorHAnsi" w:cstheme="minorHAnsi"/>
          <w:b/>
          <w:color w:val="002060"/>
        </w:rPr>
      </w:pPr>
    </w:p>
    <w:p w:rsidR="0014311E" w:rsidRPr="003E0C95" w:rsidRDefault="0014311E" w:rsidP="0014311E">
      <w:pPr>
        <w:keepLines/>
        <w:numPr>
          <w:ilvl w:val="0"/>
          <w:numId w:val="1"/>
        </w:numPr>
        <w:spacing w:before="40" w:after="120" w:line="280" w:lineRule="atLeast"/>
        <w:rPr>
          <w:rFonts w:asciiTheme="minorHAnsi" w:hAnsiTheme="minorHAnsi" w:cstheme="minorHAnsi"/>
          <w:b/>
          <w:color w:val="002060"/>
        </w:rPr>
      </w:pPr>
      <w:r w:rsidRPr="003E0C95">
        <w:rPr>
          <w:rFonts w:asciiTheme="minorHAnsi" w:hAnsiTheme="minorHAnsi" w:cstheme="minorHAnsi"/>
          <w:b/>
          <w:color w:val="FF0000"/>
          <w:sz w:val="28"/>
          <w:szCs w:val="28"/>
        </w:rPr>
        <w:t xml:space="preserve">RESEARCH HUBS </w:t>
      </w:r>
    </w:p>
    <w:p w:rsidR="0014311E" w:rsidRPr="003E0C95" w:rsidRDefault="0014311E" w:rsidP="0014311E">
      <w:pPr>
        <w:keepLines/>
        <w:numPr>
          <w:ilvl w:val="0"/>
          <w:numId w:val="1"/>
        </w:numPr>
        <w:spacing w:before="40" w:after="120" w:line="280" w:lineRule="atLeast"/>
        <w:rPr>
          <w:rFonts w:asciiTheme="minorHAnsi" w:hAnsiTheme="minorHAnsi" w:cstheme="minorHAnsi"/>
          <w:b/>
          <w:color w:val="002060"/>
          <w:sz w:val="28"/>
          <w:szCs w:val="28"/>
        </w:rPr>
      </w:pPr>
      <w:r w:rsidRPr="003E0C95">
        <w:rPr>
          <w:rFonts w:asciiTheme="minorHAnsi" w:hAnsiTheme="minorHAnsi" w:cstheme="minorHAnsi"/>
          <w:b/>
          <w:bCs/>
          <w:color w:val="6600CC"/>
          <w:sz w:val="28"/>
          <w:szCs w:val="28"/>
        </w:rPr>
        <w:t>Torts, Jurisprudence, Economics, etc Research Hub Meeting</w:t>
      </w:r>
      <w:r w:rsidR="00CE7EA3">
        <w:rPr>
          <w:rFonts w:asciiTheme="minorHAnsi" w:hAnsiTheme="minorHAnsi" w:cstheme="minorHAnsi"/>
          <w:b/>
          <w:bCs/>
          <w:color w:val="6600CC"/>
          <w:sz w:val="28"/>
          <w:szCs w:val="28"/>
        </w:rPr>
        <w:t>s</w:t>
      </w:r>
    </w:p>
    <w:p w:rsidR="0014311E" w:rsidRPr="00CE7EA3" w:rsidRDefault="0014311E" w:rsidP="0014311E">
      <w:pPr>
        <w:keepLines/>
        <w:numPr>
          <w:ilvl w:val="0"/>
          <w:numId w:val="1"/>
        </w:numPr>
        <w:spacing w:before="40" w:after="120" w:line="280" w:lineRule="atLeast"/>
        <w:rPr>
          <w:rFonts w:asciiTheme="minorHAnsi" w:hAnsiTheme="minorHAnsi" w:cstheme="minorHAnsi"/>
          <w:color w:val="008000"/>
        </w:rPr>
      </w:pPr>
      <w:r w:rsidRPr="005133BE">
        <w:rPr>
          <w:rFonts w:asciiTheme="minorHAnsi" w:hAnsiTheme="minorHAnsi" w:cstheme="minorHAnsi"/>
          <w:color w:val="008000"/>
        </w:rPr>
        <w:lastRenderedPageBreak/>
        <w:t>The next</w:t>
      </w:r>
      <w:r>
        <w:rPr>
          <w:rFonts w:asciiTheme="minorHAnsi" w:hAnsiTheme="minorHAnsi" w:cstheme="minorHAnsi"/>
          <w:color w:val="002060"/>
          <w:sz w:val="22"/>
          <w:szCs w:val="22"/>
        </w:rPr>
        <w:t xml:space="preserve"> </w:t>
      </w:r>
      <w:r w:rsidRPr="003E0C95">
        <w:rPr>
          <w:rFonts w:asciiTheme="minorHAnsi" w:hAnsiTheme="minorHAnsi" w:cstheme="minorHAnsi"/>
          <w:b/>
          <w:bCs/>
          <w:color w:val="6600CC"/>
          <w:sz w:val="28"/>
          <w:szCs w:val="28"/>
        </w:rPr>
        <w:t>Torts, Jurisprudence, Economics, etc Research Hub Meeting</w:t>
      </w:r>
      <w:r>
        <w:rPr>
          <w:rFonts w:asciiTheme="minorHAnsi" w:hAnsiTheme="minorHAnsi" w:cstheme="minorHAnsi"/>
          <w:b/>
          <w:bCs/>
          <w:color w:val="6600CC"/>
          <w:sz w:val="28"/>
          <w:szCs w:val="28"/>
        </w:rPr>
        <w:t xml:space="preserve"> </w:t>
      </w:r>
      <w:r w:rsidRPr="005133BE">
        <w:rPr>
          <w:rFonts w:asciiTheme="minorHAnsi" w:hAnsiTheme="minorHAnsi" w:cstheme="minorHAnsi"/>
          <w:bCs/>
          <w:color w:val="008000"/>
        </w:rPr>
        <w:t>will be scheduled for late October 2013</w:t>
      </w:r>
      <w:r>
        <w:rPr>
          <w:rFonts w:asciiTheme="minorHAnsi" w:hAnsiTheme="minorHAnsi" w:cstheme="minorHAnsi"/>
          <w:bCs/>
          <w:color w:val="008000"/>
        </w:rPr>
        <w:t xml:space="preserve"> with Michael D’Rosario presenting.</w:t>
      </w:r>
    </w:p>
    <w:p w:rsidR="00CE7EA3" w:rsidRPr="00CE7EA3" w:rsidRDefault="00CE7EA3" w:rsidP="0014311E">
      <w:pPr>
        <w:keepLines/>
        <w:numPr>
          <w:ilvl w:val="0"/>
          <w:numId w:val="1"/>
        </w:numPr>
        <w:spacing w:before="40" w:after="120" w:line="280" w:lineRule="atLeast"/>
        <w:rPr>
          <w:rFonts w:asciiTheme="minorHAnsi" w:hAnsiTheme="minorHAnsi" w:cstheme="minorHAnsi"/>
          <w:color w:val="008000"/>
        </w:rPr>
      </w:pPr>
      <w:r>
        <w:rPr>
          <w:rFonts w:asciiTheme="minorHAnsi" w:hAnsiTheme="minorHAnsi" w:cstheme="minorHAnsi"/>
          <w:bCs/>
          <w:color w:val="008000"/>
        </w:rPr>
        <w:t xml:space="preserve">From November 2013 on, </w:t>
      </w:r>
      <w:r w:rsidRPr="003E0C95">
        <w:rPr>
          <w:rFonts w:asciiTheme="minorHAnsi" w:hAnsiTheme="minorHAnsi" w:cstheme="minorHAnsi"/>
          <w:b/>
          <w:bCs/>
          <w:color w:val="6600CC"/>
          <w:sz w:val="28"/>
          <w:szCs w:val="28"/>
        </w:rPr>
        <w:t xml:space="preserve">Torts, Jurisprudence, Economics, etc Research Hub </w:t>
      </w:r>
      <w:r w:rsidRPr="00CE7EA3">
        <w:rPr>
          <w:rFonts w:asciiTheme="minorHAnsi" w:hAnsiTheme="minorHAnsi" w:cstheme="minorHAnsi"/>
          <w:bCs/>
          <w:color w:val="008000"/>
          <w:sz w:val="28"/>
          <w:szCs w:val="28"/>
        </w:rPr>
        <w:t>meetings will be held on the 1</w:t>
      </w:r>
      <w:r w:rsidRPr="00CE7EA3">
        <w:rPr>
          <w:rFonts w:asciiTheme="minorHAnsi" w:hAnsiTheme="minorHAnsi" w:cstheme="minorHAnsi"/>
          <w:bCs/>
          <w:color w:val="008000"/>
          <w:sz w:val="28"/>
          <w:szCs w:val="28"/>
          <w:vertAlign w:val="superscript"/>
        </w:rPr>
        <w:t>st</w:t>
      </w:r>
      <w:r w:rsidRPr="00CE7EA3">
        <w:rPr>
          <w:rFonts w:asciiTheme="minorHAnsi" w:hAnsiTheme="minorHAnsi" w:cstheme="minorHAnsi"/>
          <w:bCs/>
          <w:color w:val="008000"/>
          <w:sz w:val="28"/>
          <w:szCs w:val="28"/>
        </w:rPr>
        <w:t xml:space="preserve"> Wednesday of the month at the Deakin City Campus (550 Burke Street) at 5pm.</w:t>
      </w:r>
    </w:p>
    <w:p w:rsidR="0014311E" w:rsidRPr="003E0C95" w:rsidRDefault="0014311E" w:rsidP="0014311E">
      <w:pPr>
        <w:keepNext/>
        <w:keepLines/>
        <w:numPr>
          <w:ilvl w:val="1"/>
          <w:numId w:val="1"/>
        </w:numPr>
        <w:spacing w:before="320" w:line="280" w:lineRule="atLeast"/>
        <w:outlineLvl w:val="1"/>
        <w:rPr>
          <w:rFonts w:asciiTheme="minorHAnsi" w:eastAsiaTheme="majorEastAsia" w:hAnsiTheme="minorHAnsi" w:cstheme="minorHAnsi"/>
          <w:b/>
          <w:color w:val="FF0000"/>
          <w:sz w:val="28"/>
          <w:szCs w:val="28"/>
          <w:lang w:val="en-AU"/>
        </w:rPr>
      </w:pPr>
      <w:r w:rsidRPr="003E0C95">
        <w:rPr>
          <w:rFonts w:asciiTheme="minorHAnsi" w:eastAsiaTheme="majorEastAsia" w:hAnsiTheme="minorHAnsi" w:cstheme="minorHAnsi"/>
          <w:b/>
          <w:color w:val="FF0000"/>
          <w:sz w:val="28"/>
          <w:szCs w:val="28"/>
          <w:lang w:val="en-AU"/>
        </w:rPr>
        <w:t>FORTHCOMING CONFERENCES</w:t>
      </w:r>
    </w:p>
    <w:p w:rsidR="0014311E" w:rsidRPr="003E0C95" w:rsidRDefault="0014311E" w:rsidP="0014311E">
      <w:pPr>
        <w:keepLines/>
        <w:numPr>
          <w:ilvl w:val="0"/>
          <w:numId w:val="1"/>
        </w:numPr>
        <w:spacing w:before="40" w:after="120" w:line="280" w:lineRule="atLeast"/>
        <w:rPr>
          <w:rFonts w:asciiTheme="minorHAnsi" w:eastAsiaTheme="minorHAnsi" w:hAnsiTheme="minorHAnsi" w:cstheme="minorHAnsi"/>
          <w:b/>
          <w:bCs/>
          <w:color w:val="7030A0"/>
          <w:lang w:val="en-AU"/>
        </w:rPr>
      </w:pPr>
      <w:r w:rsidRPr="003E0C95">
        <w:rPr>
          <w:rFonts w:asciiTheme="minorHAnsi" w:hAnsiTheme="minorHAnsi" w:cstheme="minorHAnsi"/>
          <w:b/>
          <w:bCs/>
          <w:color w:val="7030A0"/>
        </w:rPr>
        <w:t>The Promised Land: The Future of Coal Seam Gas Regulation in Victoria.</w:t>
      </w:r>
    </w:p>
    <w:p w:rsidR="0014311E" w:rsidRPr="003E0C95" w:rsidRDefault="00364317" w:rsidP="0014311E">
      <w:pPr>
        <w:keepLines/>
        <w:numPr>
          <w:ilvl w:val="0"/>
          <w:numId w:val="1"/>
        </w:numPr>
        <w:spacing w:before="40" w:after="120" w:line="280" w:lineRule="atLeast"/>
        <w:rPr>
          <w:rFonts w:asciiTheme="minorHAnsi" w:hAnsiTheme="minorHAnsi" w:cstheme="minorHAnsi"/>
          <w:color w:val="002060"/>
        </w:rPr>
      </w:pPr>
      <w:r>
        <w:rPr>
          <w:rFonts w:asciiTheme="minorHAnsi" w:eastAsiaTheme="minorHAnsi" w:hAnsiTheme="minorHAnsi" w:cstheme="minorHAnsi"/>
          <w:b/>
          <w:bCs/>
          <w:color w:val="7030A0"/>
          <w:lang w:val="en-AU"/>
        </w:rPr>
        <w:t xml:space="preserve">6 </w:t>
      </w:r>
      <w:r w:rsidR="0014311E" w:rsidRPr="003E0C95">
        <w:rPr>
          <w:rFonts w:asciiTheme="minorHAnsi" w:eastAsiaTheme="minorHAnsi" w:hAnsiTheme="minorHAnsi" w:cstheme="minorHAnsi"/>
          <w:b/>
          <w:bCs/>
          <w:color w:val="7030A0"/>
          <w:lang w:val="en-AU"/>
        </w:rPr>
        <w:t>November 2013, 8.30 am-5.45 pm</w:t>
      </w:r>
    </w:p>
    <w:p w:rsidR="0014311E" w:rsidRPr="003E0C95" w:rsidRDefault="0014311E" w:rsidP="0014311E">
      <w:pPr>
        <w:keepLines/>
        <w:numPr>
          <w:ilvl w:val="0"/>
          <w:numId w:val="1"/>
        </w:numPr>
        <w:spacing w:before="40" w:after="120" w:line="280" w:lineRule="atLeast"/>
        <w:rPr>
          <w:rFonts w:asciiTheme="minorHAnsi" w:hAnsiTheme="minorHAnsi" w:cstheme="minorHAnsi"/>
          <w:color w:val="002060"/>
        </w:rPr>
      </w:pPr>
      <w:r w:rsidRPr="003E0C95">
        <w:rPr>
          <w:rFonts w:asciiTheme="minorHAnsi" w:eastAsiaTheme="minorHAnsi" w:hAnsiTheme="minorHAnsi" w:cstheme="minorHAnsi"/>
          <w:b/>
          <w:bCs/>
          <w:color w:val="7030A0"/>
          <w:lang w:val="en-AU"/>
        </w:rPr>
        <w:t>Victoria Suites, Sofitel on Collins, Melbourne</w:t>
      </w:r>
    </w:p>
    <w:p w:rsidR="0014311E" w:rsidRPr="005133BE" w:rsidRDefault="0014311E" w:rsidP="0014311E">
      <w:pPr>
        <w:keepLines/>
        <w:numPr>
          <w:ilvl w:val="0"/>
          <w:numId w:val="1"/>
        </w:numPr>
        <w:spacing w:before="40" w:after="120" w:line="280" w:lineRule="atLeast"/>
        <w:rPr>
          <w:rFonts w:asciiTheme="minorHAnsi" w:hAnsiTheme="minorHAnsi" w:cstheme="minorHAnsi"/>
          <w:color w:val="002060"/>
          <w:sz w:val="22"/>
          <w:szCs w:val="22"/>
        </w:rPr>
      </w:pPr>
      <w:r w:rsidRPr="005133BE">
        <w:rPr>
          <w:rFonts w:asciiTheme="minorHAnsi" w:hAnsiTheme="minorHAnsi" w:cstheme="minorHAnsi"/>
          <w:color w:val="000000"/>
          <w:sz w:val="22"/>
          <w:szCs w:val="22"/>
        </w:rPr>
        <w:t xml:space="preserve">The conference will examine how a future regulatory framework for unconventional gas might evolve in Victoria. </w:t>
      </w:r>
      <w:r w:rsidRPr="005133BE">
        <w:rPr>
          <w:rFonts w:asciiTheme="minorHAnsi" w:hAnsiTheme="minorHAnsi" w:cstheme="minorHAnsi"/>
          <w:b/>
          <w:color w:val="C00000"/>
          <w:sz w:val="22"/>
          <w:szCs w:val="22"/>
        </w:rPr>
        <w:t>Samantha Hepburn</w:t>
      </w:r>
      <w:r w:rsidRPr="005133BE">
        <w:rPr>
          <w:rFonts w:asciiTheme="minorHAnsi" w:hAnsiTheme="minorHAnsi" w:cstheme="minorHAnsi"/>
          <w:color w:val="C00000"/>
          <w:sz w:val="22"/>
          <w:szCs w:val="22"/>
        </w:rPr>
        <w:t xml:space="preserve"> </w:t>
      </w:r>
      <w:r w:rsidRPr="005133BE">
        <w:rPr>
          <w:rFonts w:asciiTheme="minorHAnsi" w:hAnsiTheme="minorHAnsi" w:cstheme="minorHAnsi"/>
          <w:color w:val="000000"/>
          <w:sz w:val="22"/>
          <w:szCs w:val="22"/>
        </w:rPr>
        <w:t xml:space="preserve">and </w:t>
      </w:r>
      <w:r w:rsidRPr="005133BE">
        <w:rPr>
          <w:rFonts w:asciiTheme="minorHAnsi" w:hAnsiTheme="minorHAnsi" w:cstheme="minorHAnsi"/>
          <w:b/>
          <w:color w:val="C00000"/>
          <w:sz w:val="22"/>
          <w:szCs w:val="22"/>
        </w:rPr>
        <w:t>Lidia Xynas</w:t>
      </w:r>
      <w:r w:rsidRPr="005133BE">
        <w:rPr>
          <w:rFonts w:asciiTheme="minorHAnsi" w:hAnsiTheme="minorHAnsi" w:cstheme="minorHAnsi"/>
          <w:color w:val="C00000"/>
          <w:sz w:val="22"/>
          <w:szCs w:val="22"/>
        </w:rPr>
        <w:t xml:space="preserve"> </w:t>
      </w:r>
      <w:r w:rsidRPr="005133BE">
        <w:rPr>
          <w:rFonts w:asciiTheme="minorHAnsi" w:hAnsiTheme="minorHAnsi" w:cstheme="minorHAnsi"/>
          <w:color w:val="000000"/>
          <w:sz w:val="22"/>
          <w:szCs w:val="22"/>
        </w:rPr>
        <w:t xml:space="preserve">have invited a number of high profile industry, government, science and agricultural stakeholders to discuss and evaluate the myriad of regulatory issues that are relevant to developing this industry. </w:t>
      </w:r>
      <w:r w:rsidR="00364317">
        <w:rPr>
          <w:rFonts w:asciiTheme="minorHAnsi" w:hAnsiTheme="minorHAnsi" w:cstheme="minorHAnsi"/>
          <w:color w:val="000000"/>
          <w:sz w:val="22"/>
          <w:szCs w:val="22"/>
        </w:rPr>
        <w:t>(see attached flyer)</w:t>
      </w:r>
    </w:p>
    <w:p w:rsidR="007D0B68" w:rsidRPr="001633A4" w:rsidRDefault="007D0B68" w:rsidP="0014311E">
      <w:pPr>
        <w:keepLines/>
        <w:numPr>
          <w:ilvl w:val="0"/>
          <w:numId w:val="1"/>
        </w:numPr>
        <w:spacing w:before="40" w:after="120" w:line="280" w:lineRule="atLeast"/>
        <w:rPr>
          <w:rFonts w:asciiTheme="minorHAnsi" w:hAnsiTheme="minorHAnsi" w:cstheme="minorHAnsi"/>
          <w:b/>
          <w:color w:val="FF0000"/>
          <w:sz w:val="40"/>
          <w:szCs w:val="40"/>
        </w:rPr>
      </w:pPr>
      <w:r w:rsidRPr="001633A4">
        <w:rPr>
          <w:rFonts w:asciiTheme="minorHAnsi" w:hAnsiTheme="minorHAnsi" w:cstheme="minorHAnsi"/>
          <w:b/>
          <w:color w:val="FF0000"/>
          <w:sz w:val="40"/>
          <w:szCs w:val="40"/>
        </w:rPr>
        <w:t>ERA 2015</w:t>
      </w:r>
    </w:p>
    <w:p w:rsidR="00B619D9" w:rsidRPr="00B619D9" w:rsidRDefault="00B619D9" w:rsidP="00B619D9">
      <w:pPr>
        <w:keepLines/>
        <w:numPr>
          <w:ilvl w:val="0"/>
          <w:numId w:val="1"/>
        </w:numPr>
        <w:spacing w:before="40" w:after="120" w:line="280" w:lineRule="atLeast"/>
        <w:rPr>
          <w:rFonts w:asciiTheme="minorHAnsi" w:hAnsiTheme="minorHAnsi" w:cstheme="minorHAnsi"/>
          <w:color w:val="7030A0"/>
        </w:rPr>
      </w:pPr>
      <w:r w:rsidRPr="00B619D9">
        <w:rPr>
          <w:rFonts w:asciiTheme="minorHAnsi" w:hAnsiTheme="minorHAnsi" w:cstheme="minorHAnsi"/>
        </w:rPr>
        <w:t xml:space="preserve">Excellence in Research for Australia (ERA) is a research quality evaluation program conducted by the </w:t>
      </w:r>
      <w:hyperlink r:id="rId14" w:history="1">
        <w:r w:rsidRPr="00B619D9">
          <w:rPr>
            <w:rStyle w:val="Hyperlink"/>
            <w:rFonts w:asciiTheme="minorHAnsi" w:hAnsiTheme="minorHAnsi" w:cstheme="minorHAnsi"/>
          </w:rPr>
          <w:t>Australian Research Council (ARC)</w:t>
        </w:r>
      </w:hyperlink>
      <w:r w:rsidRPr="00B619D9">
        <w:rPr>
          <w:rFonts w:asciiTheme="minorHAnsi" w:hAnsiTheme="minorHAnsi" w:cstheme="minorHAnsi"/>
        </w:rPr>
        <w:t>.</w:t>
      </w:r>
    </w:p>
    <w:p w:rsidR="00B619D9" w:rsidRPr="00B619D9" w:rsidRDefault="00B619D9" w:rsidP="00B619D9">
      <w:pPr>
        <w:keepLines/>
        <w:numPr>
          <w:ilvl w:val="0"/>
          <w:numId w:val="1"/>
        </w:numPr>
        <w:spacing w:before="40" w:after="120" w:line="280" w:lineRule="atLeast"/>
        <w:rPr>
          <w:rFonts w:asciiTheme="minorHAnsi" w:hAnsiTheme="minorHAnsi" w:cstheme="minorHAnsi"/>
          <w:b/>
          <w:color w:val="7030A0"/>
        </w:rPr>
      </w:pPr>
      <w:r w:rsidRPr="00B619D9">
        <w:rPr>
          <w:rFonts w:asciiTheme="minorHAnsi" w:hAnsiTheme="minorHAnsi" w:cstheme="minorHAnsi"/>
          <w:b/>
          <w:color w:val="7030A0"/>
        </w:rPr>
        <w:t>The information below is provided by the Deakin Research Services</w:t>
      </w:r>
      <w:r w:rsidR="00017681">
        <w:rPr>
          <w:rFonts w:asciiTheme="minorHAnsi" w:hAnsiTheme="minorHAnsi" w:cstheme="minorHAnsi"/>
          <w:b/>
          <w:color w:val="7030A0"/>
        </w:rPr>
        <w:t>.</w:t>
      </w:r>
      <w:r w:rsidRPr="00B619D9">
        <w:rPr>
          <w:rFonts w:asciiTheme="minorHAnsi" w:hAnsiTheme="minorHAnsi" w:cstheme="minorHAnsi"/>
          <w:b/>
          <w:color w:val="7030A0"/>
        </w:rPr>
        <w:t xml:space="preserve"> It reproduces the relevant metric data </w:t>
      </w:r>
      <w:r w:rsidR="00974C53">
        <w:rPr>
          <w:rFonts w:asciiTheme="minorHAnsi" w:hAnsiTheme="minorHAnsi" w:cstheme="minorHAnsi"/>
          <w:b/>
          <w:color w:val="7030A0"/>
        </w:rPr>
        <w:t xml:space="preserve">(Incites) </w:t>
      </w:r>
      <w:r w:rsidRPr="00B619D9">
        <w:rPr>
          <w:rFonts w:asciiTheme="minorHAnsi" w:hAnsiTheme="minorHAnsi" w:cstheme="minorHAnsi"/>
          <w:b/>
          <w:color w:val="7030A0"/>
        </w:rPr>
        <w:t>for the Deakin Law School and Law Schools</w:t>
      </w:r>
      <w:r w:rsidR="00017681">
        <w:rPr>
          <w:rFonts w:asciiTheme="minorHAnsi" w:hAnsiTheme="minorHAnsi" w:cstheme="minorHAnsi"/>
          <w:b/>
          <w:color w:val="7030A0"/>
        </w:rPr>
        <w:t xml:space="preserve"> at other Universities</w:t>
      </w:r>
      <w:r w:rsidRPr="00B619D9">
        <w:rPr>
          <w:rFonts w:asciiTheme="minorHAnsi" w:hAnsiTheme="minorHAnsi" w:cstheme="minorHAnsi"/>
          <w:b/>
          <w:color w:val="7030A0"/>
        </w:rPr>
        <w:t xml:space="preserve">. </w:t>
      </w:r>
    </w:p>
    <w:p w:rsidR="00B619D9" w:rsidRPr="00B619D9" w:rsidRDefault="00B619D9" w:rsidP="00B619D9">
      <w:pPr>
        <w:keepLines/>
        <w:numPr>
          <w:ilvl w:val="0"/>
          <w:numId w:val="1"/>
        </w:numPr>
        <w:spacing w:before="40" w:after="120" w:line="280" w:lineRule="atLeast"/>
        <w:rPr>
          <w:rFonts w:asciiTheme="minorHAnsi" w:hAnsiTheme="minorHAnsi" w:cstheme="minorHAnsi"/>
          <w:b/>
          <w:color w:val="7030A0"/>
        </w:rPr>
      </w:pPr>
      <w:r w:rsidRPr="00B619D9">
        <w:rPr>
          <w:rFonts w:asciiTheme="minorHAnsi" w:hAnsiTheme="minorHAnsi" w:cstheme="minorHAnsi"/>
          <w:b/>
          <w:color w:val="7030A0"/>
        </w:rPr>
        <w:t xml:space="preserve">It is an ‘essential reading’ for all members of the Law School, for the tables provide a snapshot of where we are </w:t>
      </w:r>
      <w:proofErr w:type="spellStart"/>
      <w:proofErr w:type="gramStart"/>
      <w:r w:rsidRPr="00B619D9">
        <w:rPr>
          <w:rFonts w:asciiTheme="minorHAnsi" w:hAnsiTheme="minorHAnsi" w:cstheme="minorHAnsi"/>
          <w:b/>
          <w:color w:val="7030A0"/>
        </w:rPr>
        <w:t>vis</w:t>
      </w:r>
      <w:proofErr w:type="spellEnd"/>
      <w:proofErr w:type="gramEnd"/>
      <w:r w:rsidRPr="00B619D9">
        <w:rPr>
          <w:rFonts w:asciiTheme="minorHAnsi" w:hAnsiTheme="minorHAnsi" w:cstheme="minorHAnsi"/>
          <w:b/>
          <w:color w:val="7030A0"/>
        </w:rPr>
        <w:t xml:space="preserve"> á </w:t>
      </w:r>
      <w:proofErr w:type="spellStart"/>
      <w:r w:rsidRPr="00B619D9">
        <w:rPr>
          <w:rFonts w:asciiTheme="minorHAnsi" w:hAnsiTheme="minorHAnsi" w:cstheme="minorHAnsi"/>
          <w:b/>
          <w:color w:val="7030A0"/>
        </w:rPr>
        <w:t>vis</w:t>
      </w:r>
      <w:proofErr w:type="spellEnd"/>
      <w:r w:rsidRPr="00B619D9">
        <w:rPr>
          <w:rFonts w:asciiTheme="minorHAnsi" w:hAnsiTheme="minorHAnsi" w:cstheme="minorHAnsi"/>
          <w:b/>
          <w:color w:val="7030A0"/>
        </w:rPr>
        <w:t xml:space="preserve"> other Law Schools in relation to research metrics.</w:t>
      </w:r>
      <w:r w:rsidR="00974C53">
        <w:rPr>
          <w:rFonts w:asciiTheme="minorHAnsi" w:hAnsiTheme="minorHAnsi" w:cstheme="minorHAnsi"/>
          <w:b/>
          <w:color w:val="7030A0"/>
        </w:rPr>
        <w:t xml:space="preserve"> Please click on the relevant .</w:t>
      </w:r>
      <w:proofErr w:type="spellStart"/>
      <w:r w:rsidR="00974C53">
        <w:rPr>
          <w:rFonts w:asciiTheme="minorHAnsi" w:hAnsiTheme="minorHAnsi" w:cstheme="minorHAnsi"/>
          <w:b/>
          <w:color w:val="7030A0"/>
        </w:rPr>
        <w:t>xlsx</w:t>
      </w:r>
      <w:proofErr w:type="spellEnd"/>
      <w:r w:rsidR="00974C53">
        <w:rPr>
          <w:rFonts w:asciiTheme="minorHAnsi" w:hAnsiTheme="minorHAnsi" w:cstheme="minorHAnsi"/>
          <w:b/>
          <w:color w:val="7030A0"/>
        </w:rPr>
        <w:t xml:space="preserve"> links </w:t>
      </w:r>
      <w:r w:rsidR="00017681">
        <w:rPr>
          <w:rFonts w:asciiTheme="minorHAnsi" w:hAnsiTheme="minorHAnsi" w:cstheme="minorHAnsi"/>
          <w:b/>
          <w:color w:val="7030A0"/>
        </w:rPr>
        <w:t xml:space="preserve">(highlighted in yellow) </w:t>
      </w:r>
      <w:r w:rsidR="00974C53">
        <w:rPr>
          <w:rFonts w:asciiTheme="minorHAnsi" w:hAnsiTheme="minorHAnsi" w:cstheme="minorHAnsi"/>
          <w:b/>
          <w:color w:val="7030A0"/>
        </w:rPr>
        <w:t>to download Microsoft Excel files)</w:t>
      </w:r>
      <w:r w:rsidR="00017681">
        <w:rPr>
          <w:rFonts w:asciiTheme="minorHAnsi" w:hAnsiTheme="minorHAnsi" w:cstheme="minorHAnsi"/>
          <w:b/>
          <w:color w:val="7030A0"/>
        </w:rPr>
        <w:t xml:space="preserve">. </w:t>
      </w:r>
    </w:p>
    <w:p w:rsidR="00FD4160" w:rsidRPr="00B8222D" w:rsidRDefault="001633A4" w:rsidP="00FD4160">
      <w:pPr>
        <w:keepLines/>
        <w:numPr>
          <w:ilvl w:val="0"/>
          <w:numId w:val="1"/>
        </w:numPr>
        <w:spacing w:before="40" w:after="120" w:line="280" w:lineRule="atLeast"/>
        <w:rPr>
          <w:rFonts w:asciiTheme="minorHAnsi" w:hAnsiTheme="minorHAnsi" w:cstheme="minorHAnsi"/>
          <w:color w:val="002060"/>
          <w:sz w:val="22"/>
          <w:szCs w:val="22"/>
        </w:rPr>
      </w:pPr>
      <w:r w:rsidRPr="00FD4160">
        <w:rPr>
          <w:rFonts w:asciiTheme="minorHAnsi" w:hAnsiTheme="minorHAnsi" w:cstheme="minorHAnsi"/>
        </w:rPr>
        <w:t xml:space="preserve">Whilst the details and the submission guidelines </w:t>
      </w:r>
      <w:r w:rsidR="00017681">
        <w:rPr>
          <w:rFonts w:asciiTheme="minorHAnsi" w:hAnsiTheme="minorHAnsi" w:cstheme="minorHAnsi"/>
        </w:rPr>
        <w:t xml:space="preserve">for ERA 2015 </w:t>
      </w:r>
      <w:r w:rsidRPr="00FD4160">
        <w:rPr>
          <w:rFonts w:asciiTheme="minorHAnsi" w:hAnsiTheme="minorHAnsi" w:cstheme="minorHAnsi"/>
        </w:rPr>
        <w:t>are yet to be confirmed</w:t>
      </w:r>
      <w:r w:rsidR="00017681">
        <w:rPr>
          <w:rFonts w:asciiTheme="minorHAnsi" w:hAnsiTheme="minorHAnsi" w:cstheme="minorHAnsi"/>
        </w:rPr>
        <w:t>,</w:t>
      </w:r>
      <w:r w:rsidRPr="00FD4160">
        <w:rPr>
          <w:rFonts w:asciiTheme="minorHAnsi" w:hAnsiTheme="minorHAnsi" w:cstheme="minorHAnsi"/>
        </w:rPr>
        <w:t xml:space="preserve"> </w:t>
      </w:r>
      <w:r w:rsidR="00521A86">
        <w:rPr>
          <w:rFonts w:asciiTheme="minorHAnsi" w:hAnsiTheme="minorHAnsi" w:cstheme="minorHAnsi"/>
        </w:rPr>
        <w:t xml:space="preserve">it is anticipated </w:t>
      </w:r>
      <w:r w:rsidRPr="00FD4160">
        <w:rPr>
          <w:rFonts w:asciiTheme="minorHAnsi" w:hAnsiTheme="minorHAnsi" w:cstheme="minorHAnsi"/>
        </w:rPr>
        <w:t xml:space="preserve">that </w:t>
      </w:r>
      <w:r w:rsidRPr="00FD4160">
        <w:rPr>
          <w:rFonts w:asciiTheme="minorHAnsi" w:hAnsiTheme="minorHAnsi" w:cstheme="minorHAnsi"/>
          <w:b/>
        </w:rPr>
        <w:t>the assessment period will be from 2008 to 2013 and that the staff census will be March 31st 2014</w:t>
      </w:r>
      <w:r w:rsidRPr="00FD4160">
        <w:rPr>
          <w:rFonts w:asciiTheme="minorHAnsi" w:hAnsiTheme="minorHAnsi" w:cstheme="minorHAnsi"/>
        </w:rPr>
        <w:t xml:space="preserve">. </w:t>
      </w:r>
    </w:p>
    <w:p w:rsidR="00017681" w:rsidRPr="00017681" w:rsidRDefault="00017681" w:rsidP="0084708B">
      <w:pPr>
        <w:keepLines/>
        <w:numPr>
          <w:ilvl w:val="0"/>
          <w:numId w:val="1"/>
        </w:numPr>
        <w:spacing w:before="40" w:after="120" w:line="280" w:lineRule="atLeast"/>
        <w:rPr>
          <w:rFonts w:asciiTheme="minorHAnsi" w:hAnsiTheme="minorHAnsi" w:cstheme="minorHAnsi"/>
          <w:b/>
          <w:color w:val="002060"/>
          <w:sz w:val="28"/>
          <w:szCs w:val="28"/>
        </w:rPr>
      </w:pPr>
    </w:p>
    <w:p w:rsidR="001633A4" w:rsidRPr="00B8222D" w:rsidRDefault="001633A4" w:rsidP="0084708B">
      <w:pPr>
        <w:keepLines/>
        <w:numPr>
          <w:ilvl w:val="0"/>
          <w:numId w:val="1"/>
        </w:numPr>
        <w:spacing w:before="40" w:after="120" w:line="280" w:lineRule="atLeast"/>
        <w:rPr>
          <w:rFonts w:asciiTheme="minorHAnsi" w:hAnsiTheme="minorHAnsi" w:cstheme="minorHAnsi"/>
          <w:b/>
          <w:color w:val="002060"/>
          <w:sz w:val="28"/>
          <w:szCs w:val="28"/>
        </w:rPr>
      </w:pPr>
      <w:r w:rsidRPr="00B8222D">
        <w:rPr>
          <w:rFonts w:asciiTheme="minorHAnsi" w:hAnsiTheme="minorHAnsi" w:cstheme="minorHAnsi"/>
          <w:b/>
          <w:sz w:val="28"/>
          <w:szCs w:val="28"/>
        </w:rPr>
        <w:t>Australian Government: Department of Industry</w:t>
      </w:r>
    </w:p>
    <w:p w:rsidR="001633A4" w:rsidRPr="00B8222D" w:rsidRDefault="00282EC7" w:rsidP="001633A4">
      <w:pPr>
        <w:pStyle w:val="Heading1"/>
        <w:rPr>
          <w:rFonts w:asciiTheme="minorHAnsi" w:eastAsiaTheme="minorEastAsia" w:hAnsiTheme="minorHAnsi" w:cstheme="minorHAnsi"/>
          <w:bCs w:val="0"/>
          <w:color w:val="002060"/>
          <w:spacing w:val="0"/>
          <w:sz w:val="22"/>
          <w:szCs w:val="22"/>
          <w:lang w:val="en-US"/>
        </w:rPr>
      </w:pPr>
      <w:hyperlink r:id="rId15" w:history="1">
        <w:r w:rsidR="001633A4" w:rsidRPr="00B8222D">
          <w:rPr>
            <w:rStyle w:val="Hyperlink"/>
            <w:rFonts w:asciiTheme="minorHAnsi" w:eastAsiaTheme="minorEastAsia" w:hAnsiTheme="minorHAnsi" w:cstheme="minorHAnsi"/>
            <w:bCs w:val="0"/>
            <w:spacing w:val="0"/>
            <w:sz w:val="22"/>
            <w:szCs w:val="22"/>
            <w:lang w:val="en-US"/>
          </w:rPr>
          <w:t>http://www.innovation.gov.au/research/Pages/ResearchImpactAssessment.aspx</w:t>
        </w:r>
      </w:hyperlink>
    </w:p>
    <w:p w:rsidR="0084708B" w:rsidRPr="00B8222D" w:rsidRDefault="0084708B" w:rsidP="0084708B">
      <w:pPr>
        <w:keepLines/>
        <w:numPr>
          <w:ilvl w:val="0"/>
          <w:numId w:val="1"/>
        </w:numPr>
        <w:spacing w:before="40" w:after="120" w:line="280" w:lineRule="atLeast"/>
        <w:rPr>
          <w:rFonts w:asciiTheme="minorHAnsi" w:hAnsiTheme="minorHAnsi" w:cstheme="minorHAnsi"/>
          <w:color w:val="7030A0"/>
          <w:sz w:val="28"/>
          <w:szCs w:val="28"/>
        </w:rPr>
      </w:pPr>
      <w:r w:rsidRPr="00B8222D">
        <w:rPr>
          <w:rFonts w:asciiTheme="minorHAnsi" w:hAnsiTheme="minorHAnsi" w:cstheme="minorHAnsi"/>
          <w:b/>
          <w:bCs/>
          <w:color w:val="7030A0"/>
          <w:sz w:val="28"/>
          <w:szCs w:val="28"/>
        </w:rPr>
        <w:t>Excellence in Research for Australia 2015</w:t>
      </w:r>
    </w:p>
    <w:p w:rsidR="0084708B" w:rsidRPr="00B8222D"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lastRenderedPageBreak/>
        <w:t>The data contained below are based upon publications from 2008 to 2013, research income from 2011 to 2012, and the staff census list from 31 March 2013. These pages will be updated to use the appropriate staff list as it becomes available and we find out which staff list to use. Research income from 2013 will be loaded when it becomes available.</w:t>
      </w:r>
      <w:r w:rsidRPr="00B8222D">
        <w:rPr>
          <w:rFonts w:asciiTheme="minorHAnsi" w:hAnsiTheme="minorHAnsi" w:cstheme="minorHAnsi"/>
          <w:color w:val="002060"/>
          <w:sz w:val="22"/>
          <w:szCs w:val="22"/>
        </w:rPr>
        <w:t xml:space="preserve"> </w:t>
      </w:r>
    </w:p>
    <w:p w:rsidR="0084708B" w:rsidRPr="00B8222D" w:rsidRDefault="00282EC7" w:rsidP="0084708B">
      <w:pPr>
        <w:keepLines/>
        <w:numPr>
          <w:ilvl w:val="0"/>
          <w:numId w:val="1"/>
        </w:numPr>
        <w:spacing w:before="40" w:after="120" w:line="280" w:lineRule="atLeast"/>
        <w:rPr>
          <w:rFonts w:asciiTheme="minorHAnsi" w:hAnsiTheme="minorHAnsi" w:cstheme="minorHAnsi"/>
          <w:color w:val="002060"/>
          <w:sz w:val="22"/>
          <w:szCs w:val="22"/>
        </w:rPr>
      </w:pPr>
      <w:hyperlink r:id="rId16" w:anchor="section_402" w:history="1">
        <w:r w:rsidR="0084708B" w:rsidRPr="00B8222D">
          <w:rPr>
            <w:rStyle w:val="Hyperlink"/>
            <w:rFonts w:asciiTheme="minorHAnsi" w:hAnsiTheme="minorHAnsi" w:cstheme="minorHAnsi"/>
            <w:sz w:val="22"/>
            <w:szCs w:val="22"/>
          </w:rPr>
          <w:t>ERA 2015 Data</w:t>
        </w:r>
      </w:hyperlink>
      <w:r w:rsidR="0084708B" w:rsidRPr="00B8222D">
        <w:rPr>
          <w:rFonts w:asciiTheme="minorHAnsi" w:hAnsiTheme="minorHAnsi" w:cstheme="minorHAnsi"/>
          <w:sz w:val="22"/>
          <w:szCs w:val="22"/>
        </w:rPr>
        <w:t xml:space="preserve"> :: </w:t>
      </w:r>
      <w:hyperlink r:id="rId17" w:anchor="section_403" w:history="1">
        <w:r w:rsidR="0084708B" w:rsidRPr="00B8222D">
          <w:rPr>
            <w:rStyle w:val="Hyperlink"/>
            <w:rFonts w:asciiTheme="minorHAnsi" w:hAnsiTheme="minorHAnsi" w:cstheme="minorHAnsi"/>
            <w:sz w:val="22"/>
            <w:szCs w:val="22"/>
          </w:rPr>
          <w:t>Thomson Incites Data (2 digit FOR codes) - 5 Years (cumulative)</w:t>
        </w:r>
      </w:hyperlink>
      <w:r w:rsidR="0084708B" w:rsidRPr="00B8222D">
        <w:rPr>
          <w:rFonts w:asciiTheme="minorHAnsi" w:hAnsiTheme="minorHAnsi" w:cstheme="minorHAnsi"/>
          <w:sz w:val="22"/>
          <w:szCs w:val="22"/>
        </w:rPr>
        <w:t xml:space="preserve"> :: </w:t>
      </w:r>
      <w:hyperlink r:id="rId18" w:anchor="section_405" w:history="1">
        <w:r w:rsidR="0084708B" w:rsidRPr="00B8222D">
          <w:rPr>
            <w:rStyle w:val="Hyperlink"/>
            <w:rFonts w:asciiTheme="minorHAnsi" w:hAnsiTheme="minorHAnsi" w:cstheme="minorHAnsi"/>
            <w:sz w:val="22"/>
            <w:szCs w:val="22"/>
          </w:rPr>
          <w:t>Thomson Incites Data (4 digit FOR codes) - 5 Years (cumulative)</w:t>
        </w:r>
      </w:hyperlink>
      <w:r w:rsidR="0084708B" w:rsidRPr="00B8222D">
        <w:rPr>
          <w:rFonts w:asciiTheme="minorHAnsi" w:hAnsiTheme="minorHAnsi" w:cstheme="minorHAnsi"/>
          <w:sz w:val="22"/>
          <w:szCs w:val="22"/>
        </w:rPr>
        <w:t xml:space="preserve"> :: </w:t>
      </w:r>
      <w:hyperlink r:id="rId19" w:anchor="section_404" w:history="1">
        <w:r w:rsidR="0084708B" w:rsidRPr="00B8222D">
          <w:rPr>
            <w:rStyle w:val="Hyperlink"/>
            <w:rFonts w:asciiTheme="minorHAnsi" w:hAnsiTheme="minorHAnsi" w:cstheme="minorHAnsi"/>
            <w:sz w:val="22"/>
            <w:szCs w:val="22"/>
          </w:rPr>
          <w:t>Thomson Incites Data (2 digit FOR codes) - Individual Years</w:t>
        </w:r>
      </w:hyperlink>
      <w:r w:rsidR="0084708B" w:rsidRPr="00B8222D">
        <w:rPr>
          <w:rFonts w:asciiTheme="minorHAnsi" w:hAnsiTheme="minorHAnsi" w:cstheme="minorHAnsi"/>
          <w:sz w:val="22"/>
          <w:szCs w:val="22"/>
        </w:rPr>
        <w:t xml:space="preserve"> :: </w:t>
      </w:r>
      <w:hyperlink r:id="rId20" w:anchor="section_406" w:history="1">
        <w:r w:rsidR="0084708B" w:rsidRPr="00B8222D">
          <w:rPr>
            <w:rStyle w:val="Hyperlink"/>
            <w:rFonts w:asciiTheme="minorHAnsi" w:hAnsiTheme="minorHAnsi" w:cstheme="minorHAnsi"/>
            <w:sz w:val="22"/>
            <w:szCs w:val="22"/>
          </w:rPr>
          <w:t>Thomson Incites Data (4 digit FOR codes) - Individual Years</w:t>
        </w:r>
      </w:hyperlink>
      <w:r w:rsidR="0084708B" w:rsidRPr="00B8222D">
        <w:rPr>
          <w:rFonts w:asciiTheme="minorHAnsi" w:hAnsiTheme="minorHAnsi" w:cstheme="minorHAnsi"/>
          <w:sz w:val="22"/>
          <w:szCs w:val="22"/>
        </w:rPr>
        <w:t xml:space="preserve"> </w:t>
      </w:r>
    </w:p>
    <w:p w:rsidR="0084708B" w:rsidRPr="00B8222D"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t xml:space="preserve">ERA 2015 Data </w:t>
      </w:r>
    </w:p>
    <w:p w:rsidR="0084708B" w:rsidRPr="00B8222D"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b/>
          <w:sz w:val="22"/>
          <w:szCs w:val="22"/>
        </w:rPr>
        <w:t xml:space="preserve">Thomson Incites Data (2 digit FOR codes) - 5 Years (cumulative) </w:t>
      </w:r>
    </w:p>
    <w:p w:rsidR="0084708B" w:rsidRPr="00B8222D"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t>The tables contained in the below link show the Thomson Incites data (downloaded as at August 2013) by FOR which allows for some comparison on Deakin.</w:t>
      </w:r>
      <w:r w:rsidRPr="00B8222D">
        <w:rPr>
          <w:rFonts w:asciiTheme="minorHAnsi" w:hAnsiTheme="minorHAnsi" w:cstheme="minorHAnsi"/>
          <w:color w:val="002060"/>
          <w:sz w:val="22"/>
          <w:szCs w:val="22"/>
        </w:rPr>
        <w:t xml:space="preserve"> </w:t>
      </w:r>
    </w:p>
    <w:p w:rsidR="00B619D9" w:rsidRPr="00B619D9"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t xml:space="preserve"> The following should be noted regarding the data: </w:t>
      </w:r>
    </w:p>
    <w:p w:rsidR="00B619D9" w:rsidRPr="00B619D9"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t xml:space="preserve">1. Whilst the data is from Thomson and not Scopus there should however be a high correlation between the 2 data sources. </w:t>
      </w:r>
    </w:p>
    <w:p w:rsidR="00B619D9" w:rsidRPr="00B619D9"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t xml:space="preserve">2. </w:t>
      </w:r>
      <w:proofErr w:type="gramStart"/>
      <w:r w:rsidRPr="00B8222D">
        <w:rPr>
          <w:rFonts w:asciiTheme="minorHAnsi" w:hAnsiTheme="minorHAnsi" w:cstheme="minorHAnsi"/>
          <w:sz w:val="22"/>
          <w:szCs w:val="22"/>
        </w:rPr>
        <w:t>the</w:t>
      </w:r>
      <w:proofErr w:type="gramEnd"/>
      <w:r w:rsidRPr="00B8222D">
        <w:rPr>
          <w:rFonts w:asciiTheme="minorHAnsi" w:hAnsiTheme="minorHAnsi" w:cstheme="minorHAnsi"/>
          <w:sz w:val="22"/>
          <w:szCs w:val="22"/>
        </w:rPr>
        <w:t xml:space="preserve"> data is filtered primarily to allow comparison with Universities that have above 50 outputs however the spreadsheet also allows analysis where Deakin's output in an area is below 50 outputs. </w:t>
      </w:r>
    </w:p>
    <w:p w:rsidR="00B619D9" w:rsidRPr="00B619D9"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t xml:space="preserve">3. The data is for the most recent 5 years (not the 6 year ERA period). </w:t>
      </w:r>
    </w:p>
    <w:p w:rsidR="00B619D9" w:rsidRPr="00017681" w:rsidRDefault="0084708B" w:rsidP="0084708B">
      <w:pPr>
        <w:keepLines/>
        <w:numPr>
          <w:ilvl w:val="0"/>
          <w:numId w:val="1"/>
        </w:numPr>
        <w:spacing w:before="40" w:after="120" w:line="280" w:lineRule="atLeast"/>
        <w:rPr>
          <w:rFonts w:asciiTheme="minorHAnsi" w:hAnsiTheme="minorHAnsi" w:cstheme="minorHAnsi"/>
          <w:b/>
          <w:color w:val="002060"/>
          <w:sz w:val="22"/>
          <w:szCs w:val="22"/>
        </w:rPr>
      </w:pPr>
      <w:r w:rsidRPr="00017681">
        <w:rPr>
          <w:rFonts w:asciiTheme="minorHAnsi" w:hAnsiTheme="minorHAnsi" w:cstheme="minorHAnsi"/>
          <w:b/>
          <w:sz w:val="22"/>
          <w:szCs w:val="22"/>
        </w:rPr>
        <w:t xml:space="preserve">4. The data is sorted on Impact to Subject area (essentially the citation data has been normalised to allow comparison between subject areas with different citation rates). </w:t>
      </w:r>
    </w:p>
    <w:p w:rsidR="00B619D9" w:rsidRPr="00B619D9"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t xml:space="preserve">5. The data uses the institution from the publication whereas ERA uses staff location at the census data (ie staff who have left or come to Deakin are not taken into account as they would be in ERA). </w:t>
      </w:r>
    </w:p>
    <w:p w:rsidR="00B619D9" w:rsidRPr="00B619D9"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t xml:space="preserve">6. Publications that overlap multiple FOR codes are counted at full value in all areas (ie a publication that overlaps chemistry and engineering is counted at full value in both areas). </w:t>
      </w:r>
    </w:p>
    <w:p w:rsidR="0084708B" w:rsidRPr="00B8222D"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t>7. The data is analysed using the 4 digit coding system from ERA2010 (not ERA2012).</w:t>
      </w:r>
      <w:r w:rsidRPr="00B8222D">
        <w:rPr>
          <w:rFonts w:asciiTheme="minorHAnsi" w:hAnsiTheme="minorHAnsi" w:cstheme="minorHAnsi"/>
          <w:color w:val="002060"/>
          <w:sz w:val="22"/>
          <w:szCs w:val="22"/>
        </w:rPr>
        <w:t xml:space="preserve"> </w:t>
      </w:r>
    </w:p>
    <w:p w:rsidR="0084708B" w:rsidRPr="00B8222D" w:rsidRDefault="0084708B" w:rsidP="0084708B">
      <w:pPr>
        <w:keepLines/>
        <w:numPr>
          <w:ilvl w:val="0"/>
          <w:numId w:val="1"/>
        </w:numPr>
        <w:spacing w:before="40" w:after="120" w:line="280" w:lineRule="atLeast"/>
        <w:rPr>
          <w:rFonts w:asciiTheme="minorHAnsi" w:hAnsiTheme="minorHAnsi" w:cstheme="minorHAnsi"/>
          <w:b/>
          <w:color w:val="002060"/>
          <w:sz w:val="22"/>
          <w:szCs w:val="22"/>
        </w:rPr>
      </w:pPr>
      <w:r w:rsidRPr="00B8222D">
        <w:rPr>
          <w:rFonts w:asciiTheme="minorHAnsi" w:hAnsiTheme="minorHAnsi" w:cstheme="minorHAnsi"/>
          <w:b/>
          <w:sz w:val="22"/>
          <w:szCs w:val="22"/>
        </w:rPr>
        <w:t xml:space="preserve">ERA 2015 Data </w:t>
      </w:r>
    </w:p>
    <w:p w:rsidR="0084708B" w:rsidRPr="00B8222D"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t xml:space="preserve">Thomson Incites Data (2 digit FOR codes) - 5 Years (cumulative) </w:t>
      </w:r>
    </w:p>
    <w:p w:rsidR="0084708B" w:rsidRPr="00B8222D"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hAnsiTheme="minorHAnsi" w:cstheme="minorHAnsi"/>
          <w:sz w:val="22"/>
          <w:szCs w:val="22"/>
        </w:rPr>
        <w:t xml:space="preserve">The tables contained in the below link show the Thomson Incites data (downloaded as at August 2013) by FOR which allows for some comparison on Deakin. </w:t>
      </w:r>
    </w:p>
    <w:p w:rsidR="00974C53" w:rsidRPr="00017681" w:rsidRDefault="00282EC7" w:rsidP="00974C53">
      <w:pPr>
        <w:keepLines/>
        <w:numPr>
          <w:ilvl w:val="0"/>
          <w:numId w:val="1"/>
        </w:numPr>
        <w:spacing w:before="40" w:after="120" w:line="280" w:lineRule="atLeast"/>
        <w:rPr>
          <w:rFonts w:asciiTheme="minorHAnsi" w:hAnsiTheme="minorHAnsi" w:cstheme="minorHAnsi"/>
          <w:color w:val="002060"/>
          <w:sz w:val="22"/>
          <w:szCs w:val="22"/>
          <w:highlight w:val="yellow"/>
        </w:rPr>
      </w:pPr>
      <w:hyperlink r:id="rId21" w:history="1">
        <w:r w:rsidR="00974C53" w:rsidRPr="00017681">
          <w:rPr>
            <w:rStyle w:val="Hyperlink"/>
            <w:rFonts w:asciiTheme="minorHAnsi" w:hAnsiTheme="minorHAnsi" w:cstheme="minorHAnsi"/>
            <w:sz w:val="22"/>
            <w:szCs w:val="22"/>
            <w:highlight w:val="yellow"/>
          </w:rPr>
          <w:t>http://www.deakin.edu.au/research-services/forms/v/5776/18-law-and-legal-studies.xlsx</w:t>
        </w:r>
      </w:hyperlink>
    </w:p>
    <w:p w:rsidR="0084708B" w:rsidRPr="00B8222D"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eastAsia="Times New Roman" w:hAnsiTheme="minorHAnsi" w:cstheme="minorHAnsi"/>
          <w:b/>
          <w:sz w:val="22"/>
          <w:szCs w:val="22"/>
          <w:lang w:eastAsia="en-AU"/>
        </w:rPr>
        <w:t xml:space="preserve">Thomson Incites Data (4 digit FOR codes) - 5 Years (cumulative) </w:t>
      </w:r>
    </w:p>
    <w:p w:rsidR="0084708B" w:rsidRPr="00017681" w:rsidRDefault="00282EC7" w:rsidP="0084708B">
      <w:pPr>
        <w:keepLines/>
        <w:numPr>
          <w:ilvl w:val="0"/>
          <w:numId w:val="1"/>
        </w:numPr>
        <w:spacing w:before="40" w:after="120" w:line="280" w:lineRule="atLeast"/>
        <w:rPr>
          <w:rFonts w:asciiTheme="minorHAnsi" w:hAnsiTheme="minorHAnsi" w:cstheme="minorHAnsi"/>
          <w:color w:val="002060"/>
          <w:sz w:val="22"/>
          <w:szCs w:val="22"/>
          <w:highlight w:val="yellow"/>
        </w:rPr>
      </w:pPr>
      <w:hyperlink r:id="rId22" w:history="1">
        <w:r w:rsidR="0084708B" w:rsidRPr="00017681">
          <w:rPr>
            <w:rStyle w:val="Hyperlink"/>
            <w:rFonts w:asciiTheme="minorHAnsi" w:eastAsia="Times New Roman" w:hAnsiTheme="minorHAnsi" w:cstheme="minorHAnsi"/>
            <w:sz w:val="22"/>
            <w:szCs w:val="22"/>
            <w:highlight w:val="yellow"/>
            <w:lang w:eastAsia="en-AU"/>
          </w:rPr>
          <w:t>http://www.deakin.edu.au/research-services/forms/v/5827/1801-law.xlsx</w:t>
        </w:r>
      </w:hyperlink>
    </w:p>
    <w:p w:rsidR="0084708B" w:rsidRPr="00E0115A"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eastAsia="Times New Roman" w:hAnsiTheme="minorHAnsi" w:cstheme="minorHAnsi"/>
          <w:b/>
          <w:sz w:val="22"/>
          <w:szCs w:val="22"/>
          <w:lang w:eastAsia="en-AU"/>
        </w:rPr>
        <w:t xml:space="preserve">Thomson Incites Data (2 digit FOR codes) - Individual Years </w:t>
      </w:r>
    </w:p>
    <w:p w:rsidR="0084708B" w:rsidRPr="00B8222D" w:rsidRDefault="00017681" w:rsidP="0084708B">
      <w:pPr>
        <w:keepLines/>
        <w:numPr>
          <w:ilvl w:val="0"/>
          <w:numId w:val="1"/>
        </w:numPr>
        <w:spacing w:before="40" w:after="120" w:line="280" w:lineRule="atLeast"/>
        <w:rPr>
          <w:rFonts w:asciiTheme="minorHAnsi" w:hAnsiTheme="minorHAnsi" w:cstheme="minorHAnsi"/>
          <w:color w:val="002060"/>
          <w:sz w:val="22"/>
          <w:szCs w:val="22"/>
        </w:rPr>
      </w:pPr>
      <w:r>
        <w:rPr>
          <w:rFonts w:asciiTheme="minorHAnsi" w:eastAsia="Times New Roman" w:hAnsiTheme="minorHAnsi" w:cstheme="minorHAnsi"/>
          <w:sz w:val="22"/>
          <w:szCs w:val="22"/>
          <w:lang w:eastAsia="en-AU"/>
        </w:rPr>
        <w:lastRenderedPageBreak/>
        <w:t>Please note that c</w:t>
      </w:r>
      <w:r w:rsidR="0084708B" w:rsidRPr="00B8222D">
        <w:rPr>
          <w:rFonts w:asciiTheme="minorHAnsi" w:eastAsia="Times New Roman" w:hAnsiTheme="minorHAnsi" w:cstheme="minorHAnsi"/>
          <w:sz w:val="22"/>
          <w:szCs w:val="22"/>
          <w:lang w:eastAsia="en-AU"/>
        </w:rPr>
        <w:t xml:space="preserve">itation data between years is not comparable. Changing the year filter should allow information to be gained on whether Deakin has been improving its relative research performance in the particular </w:t>
      </w:r>
      <w:proofErr w:type="gramStart"/>
      <w:r w:rsidR="0084708B" w:rsidRPr="00B8222D">
        <w:rPr>
          <w:rFonts w:asciiTheme="minorHAnsi" w:eastAsia="Times New Roman" w:hAnsiTheme="minorHAnsi" w:cstheme="minorHAnsi"/>
          <w:sz w:val="22"/>
          <w:szCs w:val="22"/>
          <w:lang w:eastAsia="en-AU"/>
        </w:rPr>
        <w:t>FoR</w:t>
      </w:r>
      <w:proofErr w:type="gramEnd"/>
      <w:r w:rsidR="0084708B" w:rsidRPr="00B8222D">
        <w:rPr>
          <w:rFonts w:asciiTheme="minorHAnsi" w:eastAsia="Times New Roman" w:hAnsiTheme="minorHAnsi" w:cstheme="minorHAnsi"/>
          <w:sz w:val="22"/>
          <w:szCs w:val="22"/>
          <w:lang w:eastAsia="en-AU"/>
        </w:rPr>
        <w:t xml:space="preserve"> code. Care should be taken when making interpretations of the data when the number of publications is small. </w:t>
      </w:r>
    </w:p>
    <w:p w:rsidR="0084708B" w:rsidRPr="00017681" w:rsidRDefault="00282EC7" w:rsidP="0084708B">
      <w:pPr>
        <w:keepLines/>
        <w:numPr>
          <w:ilvl w:val="0"/>
          <w:numId w:val="1"/>
        </w:numPr>
        <w:spacing w:before="40" w:after="120" w:line="280" w:lineRule="atLeast"/>
        <w:rPr>
          <w:rFonts w:asciiTheme="minorHAnsi" w:hAnsiTheme="minorHAnsi" w:cstheme="minorHAnsi"/>
          <w:color w:val="002060"/>
          <w:sz w:val="22"/>
          <w:szCs w:val="22"/>
          <w:highlight w:val="yellow"/>
        </w:rPr>
      </w:pPr>
      <w:hyperlink r:id="rId23" w:history="1">
        <w:r w:rsidR="0084708B" w:rsidRPr="00017681">
          <w:rPr>
            <w:rStyle w:val="Hyperlink"/>
            <w:rFonts w:asciiTheme="minorHAnsi" w:eastAsia="Times New Roman" w:hAnsiTheme="minorHAnsi" w:cstheme="minorHAnsi"/>
            <w:sz w:val="22"/>
            <w:szCs w:val="22"/>
            <w:highlight w:val="yellow"/>
            <w:lang w:eastAsia="en-AU"/>
          </w:rPr>
          <w:t>http://www.deakin.edu.au/research-services/forms/v/5799/18-law-and-legal-studies.xlsx</w:t>
        </w:r>
      </w:hyperlink>
    </w:p>
    <w:p w:rsidR="0084708B" w:rsidRPr="00B8222D" w:rsidRDefault="0084708B" w:rsidP="0084708B">
      <w:pPr>
        <w:keepLines/>
        <w:numPr>
          <w:ilvl w:val="0"/>
          <w:numId w:val="1"/>
        </w:numPr>
        <w:spacing w:before="40" w:after="120" w:line="280" w:lineRule="atLeast"/>
        <w:rPr>
          <w:rFonts w:asciiTheme="minorHAnsi" w:hAnsiTheme="minorHAnsi" w:cstheme="minorHAnsi"/>
          <w:color w:val="002060"/>
          <w:sz w:val="22"/>
          <w:szCs w:val="22"/>
        </w:rPr>
      </w:pPr>
      <w:r w:rsidRPr="00B8222D">
        <w:rPr>
          <w:rFonts w:asciiTheme="minorHAnsi" w:eastAsia="Times New Roman" w:hAnsiTheme="minorHAnsi" w:cstheme="minorHAnsi"/>
          <w:b/>
          <w:sz w:val="22"/>
          <w:szCs w:val="22"/>
          <w:lang w:eastAsia="en-AU"/>
        </w:rPr>
        <w:t xml:space="preserve">Thomson Incites Data (4 digit FOR codes) - Individual Years </w:t>
      </w:r>
    </w:p>
    <w:p w:rsidR="0084708B" w:rsidRPr="00017681" w:rsidRDefault="00282EC7" w:rsidP="0084708B">
      <w:pPr>
        <w:keepLines/>
        <w:numPr>
          <w:ilvl w:val="0"/>
          <w:numId w:val="1"/>
        </w:numPr>
        <w:spacing w:before="40" w:after="120" w:line="280" w:lineRule="atLeast"/>
        <w:rPr>
          <w:rStyle w:val="Hyperlink"/>
          <w:rFonts w:asciiTheme="minorHAnsi" w:hAnsiTheme="minorHAnsi" w:cstheme="minorHAnsi"/>
          <w:color w:val="002060"/>
          <w:sz w:val="22"/>
          <w:szCs w:val="22"/>
          <w:highlight w:val="yellow"/>
          <w:u w:val="none"/>
        </w:rPr>
      </w:pPr>
      <w:hyperlink r:id="rId24" w:history="1">
        <w:r w:rsidR="0084708B" w:rsidRPr="00017681">
          <w:rPr>
            <w:rStyle w:val="Hyperlink"/>
            <w:rFonts w:asciiTheme="minorHAnsi" w:eastAsia="Times New Roman" w:hAnsiTheme="minorHAnsi" w:cstheme="minorHAnsi"/>
            <w:sz w:val="22"/>
            <w:szCs w:val="22"/>
            <w:highlight w:val="yellow"/>
            <w:lang w:eastAsia="en-AU"/>
          </w:rPr>
          <w:t>http://www.deakin.edu.au/research-services/forms/v/5882/1801-law.xlsx</w:t>
        </w:r>
      </w:hyperlink>
    </w:p>
    <w:p w:rsidR="00017681" w:rsidRPr="00017681" w:rsidRDefault="00017681" w:rsidP="0084708B">
      <w:pPr>
        <w:keepLines/>
        <w:numPr>
          <w:ilvl w:val="0"/>
          <w:numId w:val="1"/>
        </w:numPr>
        <w:spacing w:before="40" w:after="120" w:line="280" w:lineRule="atLeast"/>
        <w:rPr>
          <w:rStyle w:val="Hyperlink"/>
          <w:rFonts w:asciiTheme="minorHAnsi" w:hAnsiTheme="minorHAnsi" w:cstheme="minorHAnsi"/>
          <w:color w:val="002060"/>
          <w:sz w:val="22"/>
          <w:szCs w:val="22"/>
          <w:highlight w:val="yellow"/>
          <w:u w:val="none"/>
        </w:rPr>
      </w:pPr>
    </w:p>
    <w:p w:rsidR="00017681" w:rsidRPr="00017681" w:rsidRDefault="00017681" w:rsidP="0084708B">
      <w:pPr>
        <w:keepLines/>
        <w:numPr>
          <w:ilvl w:val="0"/>
          <w:numId w:val="1"/>
        </w:numPr>
        <w:spacing w:before="40" w:after="120" w:line="280" w:lineRule="atLeast"/>
        <w:rPr>
          <w:rFonts w:asciiTheme="minorHAnsi" w:hAnsiTheme="minorHAnsi" w:cstheme="minorHAnsi"/>
          <w:b/>
          <w:color w:val="C00000"/>
          <w:sz w:val="28"/>
          <w:szCs w:val="28"/>
        </w:rPr>
      </w:pPr>
      <w:r w:rsidRPr="00017681">
        <w:rPr>
          <w:rStyle w:val="Hyperlink"/>
          <w:rFonts w:asciiTheme="minorHAnsi" w:eastAsia="Times New Roman" w:hAnsiTheme="minorHAnsi" w:cstheme="minorHAnsi"/>
          <w:b/>
          <w:color w:val="C00000"/>
          <w:sz w:val="28"/>
          <w:szCs w:val="28"/>
          <w:u w:val="none"/>
          <w:lang w:eastAsia="en-AU"/>
        </w:rPr>
        <w:t xml:space="preserve">Having examined the data, I suggest that </w:t>
      </w:r>
      <w:r>
        <w:rPr>
          <w:rStyle w:val="Hyperlink"/>
          <w:rFonts w:asciiTheme="minorHAnsi" w:eastAsia="Times New Roman" w:hAnsiTheme="minorHAnsi" w:cstheme="minorHAnsi"/>
          <w:b/>
          <w:color w:val="C00000"/>
          <w:sz w:val="28"/>
          <w:szCs w:val="28"/>
          <w:u w:val="none"/>
          <w:lang w:eastAsia="en-AU"/>
        </w:rPr>
        <w:t xml:space="preserve">when deciding where to publish our work, </w:t>
      </w:r>
      <w:r w:rsidRPr="00017681">
        <w:rPr>
          <w:rStyle w:val="Hyperlink"/>
          <w:rFonts w:asciiTheme="minorHAnsi" w:eastAsia="Times New Roman" w:hAnsiTheme="minorHAnsi" w:cstheme="minorHAnsi"/>
          <w:b/>
          <w:color w:val="C00000"/>
          <w:sz w:val="28"/>
          <w:szCs w:val="28"/>
          <w:u w:val="none"/>
          <w:lang w:eastAsia="en-AU"/>
        </w:rPr>
        <w:t xml:space="preserve">we seriously consider giving preference to journals listed in </w:t>
      </w:r>
      <w:r w:rsidRPr="00017681">
        <w:rPr>
          <w:rFonts w:asciiTheme="minorHAnsi" w:hAnsiTheme="minorHAnsi" w:cstheme="minorHAnsi"/>
          <w:b/>
          <w:color w:val="C00000"/>
          <w:sz w:val="28"/>
          <w:szCs w:val="28"/>
        </w:rPr>
        <w:t>Thomson and Scopus</w:t>
      </w:r>
      <w:r>
        <w:rPr>
          <w:rFonts w:asciiTheme="minorHAnsi" w:hAnsiTheme="minorHAnsi" w:cstheme="minorHAnsi"/>
          <w:b/>
          <w:color w:val="C00000"/>
          <w:sz w:val="28"/>
          <w:szCs w:val="28"/>
        </w:rPr>
        <w:t xml:space="preserve"> databases</w:t>
      </w:r>
      <w:r w:rsidRPr="00017681">
        <w:rPr>
          <w:rFonts w:asciiTheme="minorHAnsi" w:hAnsiTheme="minorHAnsi" w:cstheme="minorHAnsi"/>
          <w:b/>
          <w:color w:val="C00000"/>
          <w:sz w:val="28"/>
          <w:szCs w:val="28"/>
        </w:rPr>
        <w:t>.</w:t>
      </w:r>
    </w:p>
    <w:sectPr w:rsidR="00017681" w:rsidRPr="00017681" w:rsidSect="00DF604B">
      <w:headerReference w:type="default" r:id="rId25"/>
      <w:footerReference w:type="default" r:id="rId26"/>
      <w:headerReference w:type="first" r:id="rId27"/>
      <w:footerReference w:type="first" r:id="rId28"/>
      <w:pgSz w:w="11906" w:h="16838" w:code="9"/>
      <w:pgMar w:top="425" w:right="1440" w:bottom="567" w:left="567"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C7" w:rsidRDefault="00282EC7">
      <w:r>
        <w:separator/>
      </w:r>
    </w:p>
  </w:endnote>
  <w:endnote w:type="continuationSeparator" w:id="0">
    <w:p w:rsidR="00282EC7" w:rsidRDefault="0028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9B4F76" w:rsidP="00E946E5">
    <w:pPr>
      <w:pStyle w:val="NormalBase"/>
    </w:pPr>
    <w:r>
      <w:rPr>
        <w:rFonts w:eastAsia="Times New Roman"/>
        <w:noProof/>
        <w:lang w:eastAsia="en-AU"/>
      </w:rPr>
      <w:drawing>
        <wp:anchor distT="0" distB="0" distL="114300" distR="114300" simplePos="0" relativeHeight="251663360" behindDoc="1" locked="1" layoutInCell="1" allowOverlap="1" wp14:anchorId="45DBED3D" wp14:editId="21290E03">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0" locked="1" layoutInCell="1" allowOverlap="1" wp14:anchorId="3F0B3C31" wp14:editId="2D10F8FF">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9B4F76" w:rsidP="00E946E5">
                          <w:pPr>
                            <w:pStyle w:val="FooterReport"/>
                          </w:pPr>
                          <w:r w:rsidRPr="00793852">
                            <w:t xml:space="preserve">School of </w:t>
                          </w:r>
                          <w:r>
                            <w:t>Law</w:t>
                          </w:r>
                          <w:r w:rsidRPr="00793852">
                            <w:t xml:space="preserve"> </w:t>
                          </w:r>
                        </w:p>
                        <w:p w:rsidR="00736438" w:rsidRDefault="009B4F76" w:rsidP="00E946E5">
                          <w:pPr>
                            <w:pStyle w:val="FooterReport"/>
                          </w:pPr>
                          <w:r w:rsidRPr="00793852">
                            <w:t xml:space="preserve">Faculty of </w:t>
                          </w:r>
                          <w:r>
                            <w:t>Business and Law</w:t>
                          </w:r>
                        </w:p>
                        <w:p w:rsidR="00736438" w:rsidRPr="00793852" w:rsidRDefault="009B4F76" w:rsidP="00E946E5">
                          <w:pPr>
                            <w:pStyle w:val="FooterReport"/>
                          </w:pPr>
                          <w:r w:rsidRPr="00793852">
                            <w:t>Melbourne Burwood Campus, 221 Burwood Highway, Burwood, VIC 3125</w:t>
                          </w:r>
                        </w:p>
                        <w:p w:rsidR="00736438" w:rsidRPr="00793852" w:rsidRDefault="009B4F76"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282EC7"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9B4F76" w:rsidP="00E946E5">
                    <w:pPr>
                      <w:pStyle w:val="FooterReport"/>
                    </w:pPr>
                    <w:r w:rsidRPr="00793852">
                      <w:t xml:space="preserve">School of </w:t>
                    </w:r>
                    <w:r>
                      <w:t>Law</w:t>
                    </w:r>
                    <w:r w:rsidRPr="00793852">
                      <w:t xml:space="preserve"> </w:t>
                    </w:r>
                  </w:p>
                  <w:p w:rsidR="00736438" w:rsidRDefault="009B4F76" w:rsidP="00E946E5">
                    <w:pPr>
                      <w:pStyle w:val="FooterReport"/>
                    </w:pPr>
                    <w:r w:rsidRPr="00793852">
                      <w:t xml:space="preserve">Faculty of </w:t>
                    </w:r>
                    <w:r>
                      <w:t>Business and Law</w:t>
                    </w:r>
                  </w:p>
                  <w:p w:rsidR="00736438" w:rsidRPr="00793852" w:rsidRDefault="009B4F76" w:rsidP="00E946E5">
                    <w:pPr>
                      <w:pStyle w:val="FooterReport"/>
                    </w:pPr>
                    <w:r w:rsidRPr="00793852">
                      <w:t>Melbourne Burwood Campus, 221 Burwood Highway, Burwood, VIC 3125</w:t>
                    </w:r>
                  </w:p>
                  <w:p w:rsidR="00736438" w:rsidRPr="00793852" w:rsidRDefault="009B4F76"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33324B" w:rsidP="00E946E5"/>
                </w:txbxContent>
              </v:textbox>
              <w10:wrap anchorx="page" anchory="page"/>
              <w10:anchorlock/>
            </v:shape>
          </w:pict>
        </mc:Fallback>
      </mc:AlternateContent>
    </w:r>
  </w:p>
  <w:p w:rsidR="00736438" w:rsidRPr="007C0F1B" w:rsidRDefault="009B4F76" w:rsidP="00E946E5">
    <w:pPr>
      <w:pStyle w:val="FooterCode"/>
    </w:pPr>
    <w:r>
      <w:t>Deakin University CRICOS Provider Code: 00113B</w:t>
    </w:r>
  </w:p>
  <w:p w:rsidR="00736438" w:rsidRPr="00E946E5" w:rsidRDefault="00282EC7" w:rsidP="00E946E5">
    <w:pPr>
      <w:pStyle w:val="FooterBas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9B4F76" w:rsidP="00C27889">
    <w:pPr>
      <w:pStyle w:val="NormalBase"/>
    </w:pPr>
    <w:r>
      <w:rPr>
        <w:rFonts w:eastAsia="Times New Roman"/>
        <w:noProof/>
        <w:lang w:eastAsia="en-AU"/>
      </w:rPr>
      <w:drawing>
        <wp:anchor distT="0" distB="0" distL="114300" distR="114300" simplePos="0" relativeHeight="251661312" behindDoc="1" locked="1" layoutInCell="1" allowOverlap="1" wp14:anchorId="6F5AE34E" wp14:editId="0CCF14A9">
          <wp:simplePos x="0" y="0"/>
          <wp:positionH relativeFrom="page">
            <wp:posOffset>248285</wp:posOffset>
          </wp:positionH>
          <wp:positionV relativeFrom="page">
            <wp:posOffset>9764395</wp:posOffset>
          </wp:positionV>
          <wp:extent cx="7088400" cy="712800"/>
          <wp:effectExtent l="0" t="0" r="0" b="0"/>
          <wp:wrapNone/>
          <wp:docPr id="7"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1" layoutInCell="1" allowOverlap="1" wp14:anchorId="7F584B77" wp14:editId="79541DA5">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9B4F76" w:rsidP="00793852">
                          <w:pPr>
                            <w:pStyle w:val="FooterReport"/>
                          </w:pPr>
                          <w:r w:rsidRPr="00793852">
                            <w:t xml:space="preserve">School of </w:t>
                          </w:r>
                          <w:r>
                            <w:t>Law</w:t>
                          </w:r>
                        </w:p>
                        <w:p w:rsidR="00736438" w:rsidRPr="00793852" w:rsidRDefault="009B4F76" w:rsidP="00793852">
                          <w:pPr>
                            <w:pStyle w:val="FooterReport"/>
                          </w:pPr>
                          <w:r w:rsidRPr="00793852">
                            <w:t xml:space="preserve">Faculty of </w:t>
                          </w:r>
                          <w:r>
                            <w:t xml:space="preserve">Business </w:t>
                          </w:r>
                          <w:r w:rsidRPr="00793852">
                            <w:t xml:space="preserve">and </w:t>
                          </w:r>
                          <w:r>
                            <w:t>Law</w:t>
                          </w:r>
                        </w:p>
                        <w:p w:rsidR="00736438" w:rsidRPr="00793852" w:rsidRDefault="009B4F76" w:rsidP="00793852">
                          <w:pPr>
                            <w:pStyle w:val="FooterReport"/>
                          </w:pPr>
                          <w:r w:rsidRPr="00793852">
                            <w:t>Melbourne Burwood Campus, 221 Burwood Highway, Burwood, VIC 3125</w:t>
                          </w:r>
                        </w:p>
                        <w:p w:rsidR="00736438" w:rsidRPr="00793852" w:rsidRDefault="009B4F76"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282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9B4F76" w:rsidP="00793852">
                    <w:pPr>
                      <w:pStyle w:val="FooterReport"/>
                    </w:pPr>
                    <w:r w:rsidRPr="00793852">
                      <w:t xml:space="preserve">School of </w:t>
                    </w:r>
                    <w:r>
                      <w:t>Law</w:t>
                    </w:r>
                  </w:p>
                  <w:p w:rsidR="00736438" w:rsidRPr="00793852" w:rsidRDefault="009B4F76" w:rsidP="00793852">
                    <w:pPr>
                      <w:pStyle w:val="FooterReport"/>
                    </w:pPr>
                    <w:r w:rsidRPr="00793852">
                      <w:t xml:space="preserve">Faculty of </w:t>
                    </w:r>
                    <w:r>
                      <w:t xml:space="preserve">Business </w:t>
                    </w:r>
                    <w:r w:rsidRPr="00793852">
                      <w:t xml:space="preserve">and </w:t>
                    </w:r>
                    <w:r>
                      <w:t>Law</w:t>
                    </w:r>
                  </w:p>
                  <w:p w:rsidR="00736438" w:rsidRPr="00793852" w:rsidRDefault="009B4F76" w:rsidP="00793852">
                    <w:pPr>
                      <w:pStyle w:val="FooterReport"/>
                    </w:pPr>
                    <w:r w:rsidRPr="00793852">
                      <w:t>Melbourne Burwood Campus, 221 Burwood Highway, Burwood, VIC 3125</w:t>
                    </w:r>
                  </w:p>
                  <w:p w:rsidR="00736438" w:rsidRPr="00793852" w:rsidRDefault="009B4F76"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33324B"/>
                </w:txbxContent>
              </v:textbox>
              <w10:wrap anchorx="page" anchory="page"/>
              <w10:anchorlock/>
            </v:shape>
          </w:pict>
        </mc:Fallback>
      </mc:AlternateContent>
    </w:r>
  </w:p>
  <w:p w:rsidR="00736438" w:rsidRPr="007C0F1B" w:rsidRDefault="009B4F76" w:rsidP="008B402F">
    <w:pPr>
      <w:pStyle w:val="FooterCode"/>
    </w:pPr>
    <w:r>
      <w:t>Deakin University CRICOS Provider Code: 00113B</w:t>
    </w:r>
  </w:p>
  <w:p w:rsidR="00736438" w:rsidRPr="007C0F1B" w:rsidRDefault="00282EC7" w:rsidP="008B402F">
    <w:pPr>
      <w:pStyle w:val="FooterBas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C7" w:rsidRDefault="00282EC7">
      <w:r>
        <w:separator/>
      </w:r>
    </w:p>
  </w:footnote>
  <w:footnote w:type="continuationSeparator" w:id="0">
    <w:p w:rsidR="00282EC7" w:rsidRDefault="0028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282EC7" w:rsidP="005A1A78">
    <w:pPr>
      <w:pStyle w:val="NormalBase"/>
    </w:pPr>
  </w:p>
  <w:p w:rsidR="00736438" w:rsidRDefault="00282EC7" w:rsidP="00411013">
    <w:pPr>
      <w:pStyle w:val="HeaderFollower"/>
    </w:pPr>
  </w:p>
  <w:p w:rsidR="00736438" w:rsidRDefault="00282EC7" w:rsidP="005A1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9B4F76" w:rsidP="00A42BB8">
    <w:pPr>
      <w:pStyle w:val="NormalBase"/>
      <w:keepNext/>
    </w:pPr>
    <w:r>
      <w:rPr>
        <w:noProof/>
        <w:lang w:eastAsia="en-AU"/>
      </w:rPr>
      <w:drawing>
        <wp:anchor distT="0" distB="0" distL="114300" distR="114300" simplePos="0" relativeHeight="251660288" behindDoc="0" locked="0" layoutInCell="1" allowOverlap="1" wp14:anchorId="7F2D1644" wp14:editId="7FBC216A">
          <wp:simplePos x="0" y="0"/>
          <wp:positionH relativeFrom="page">
            <wp:posOffset>3086100</wp:posOffset>
          </wp:positionH>
          <wp:positionV relativeFrom="page">
            <wp:posOffset>257175</wp:posOffset>
          </wp:positionV>
          <wp:extent cx="1333500"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282EC7" w:rsidP="00A42BB8">
    <w:pPr>
      <w:pStyle w:val="NormalBase"/>
      <w:keepNext/>
    </w:pPr>
  </w:p>
  <w:p w:rsidR="00736438" w:rsidRDefault="00282EC7" w:rsidP="00A42BB8">
    <w:pPr>
      <w:pStyle w:val="NormalBase"/>
      <w:keepNext/>
    </w:pPr>
  </w:p>
  <w:p w:rsidR="00736438" w:rsidRDefault="00282EC7" w:rsidP="00A42BB8">
    <w:pPr>
      <w:pStyle w:val="NormalBase"/>
      <w:keepNext/>
    </w:pPr>
  </w:p>
  <w:p w:rsidR="00736438" w:rsidRDefault="00282EC7" w:rsidP="00A42BB8">
    <w:pPr>
      <w:pStyle w:val="NormalBase"/>
      <w:keepNext/>
    </w:pPr>
  </w:p>
  <w:p w:rsidR="00736438" w:rsidRDefault="00282EC7" w:rsidP="00A42BB8">
    <w:pPr>
      <w:pStyle w:val="NormalBase"/>
      <w:keepNext/>
    </w:pPr>
  </w:p>
  <w:p w:rsidR="00736438" w:rsidRDefault="00282EC7" w:rsidP="00A42BB8">
    <w:pPr>
      <w:pStyle w:val="NormalBase"/>
      <w:keepNext/>
    </w:pPr>
  </w:p>
  <w:p w:rsidR="00736438" w:rsidRDefault="00282EC7" w:rsidP="00A42BB8">
    <w:pPr>
      <w:pStyle w:val="NormalBase"/>
      <w:keepNext/>
    </w:pPr>
  </w:p>
  <w:p w:rsidR="00736438" w:rsidRDefault="00282EC7" w:rsidP="00A42BB8">
    <w:pPr>
      <w:pStyle w:val="NormalBase"/>
      <w:keepNext/>
    </w:pPr>
  </w:p>
  <w:p w:rsidR="00736438" w:rsidRDefault="00282EC7"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026E"/>
    <w:multiLevelType w:val="hybridMultilevel"/>
    <w:tmpl w:val="158C0E5E"/>
    <w:lvl w:ilvl="0" w:tplc="47FCEB72">
      <w:start w:val="1"/>
      <w:numFmt w:val="lowerRoman"/>
      <w:lvlText w:val="(%1)"/>
      <w:lvlJc w:val="left"/>
      <w:pPr>
        <w:ind w:left="1422" w:hanging="85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1E"/>
    <w:rsid w:val="00017681"/>
    <w:rsid w:val="0002759A"/>
    <w:rsid w:val="0014311E"/>
    <w:rsid w:val="001633A4"/>
    <w:rsid w:val="00227E69"/>
    <w:rsid w:val="00282EC7"/>
    <w:rsid w:val="002E2E15"/>
    <w:rsid w:val="0033324B"/>
    <w:rsid w:val="00364317"/>
    <w:rsid w:val="003903C9"/>
    <w:rsid w:val="00474109"/>
    <w:rsid w:val="004850B5"/>
    <w:rsid w:val="00493001"/>
    <w:rsid w:val="00521A86"/>
    <w:rsid w:val="00606ADC"/>
    <w:rsid w:val="00625EF6"/>
    <w:rsid w:val="006659AB"/>
    <w:rsid w:val="006D797E"/>
    <w:rsid w:val="007D0B68"/>
    <w:rsid w:val="0084708B"/>
    <w:rsid w:val="008A6E34"/>
    <w:rsid w:val="00974C53"/>
    <w:rsid w:val="009A0798"/>
    <w:rsid w:val="009B4F76"/>
    <w:rsid w:val="00B619D9"/>
    <w:rsid w:val="00B8222D"/>
    <w:rsid w:val="00BD385E"/>
    <w:rsid w:val="00C66299"/>
    <w:rsid w:val="00CE7EA3"/>
    <w:rsid w:val="00D644D1"/>
    <w:rsid w:val="00E0115A"/>
    <w:rsid w:val="00F916E8"/>
    <w:rsid w:val="00FD4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1E"/>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14311E"/>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14311E"/>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14311E"/>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14311E"/>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14311E"/>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11E"/>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14311E"/>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14311E"/>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14311E"/>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14311E"/>
    <w:rPr>
      <w:rFonts w:ascii="Calibri" w:eastAsiaTheme="majorEastAsia" w:hAnsi="Calibri" w:cs="Calibri"/>
      <w:b/>
      <w:iCs/>
      <w:color w:val="000000"/>
      <w:sz w:val="20"/>
      <w:szCs w:val="26"/>
      <w:u w:color="000000"/>
    </w:rPr>
  </w:style>
  <w:style w:type="paragraph" w:customStyle="1" w:styleId="NormalBase">
    <w:name w:val="Normal Base"/>
    <w:rsid w:val="0014311E"/>
    <w:pPr>
      <w:spacing w:after="0" w:line="240" w:lineRule="auto"/>
    </w:pPr>
    <w:rPr>
      <w:rFonts w:ascii="Calibri" w:hAnsi="Calibri" w:cs="Calibri"/>
      <w:color w:val="000000"/>
      <w:sz w:val="20"/>
      <w:u w:color="000000"/>
    </w:rPr>
  </w:style>
  <w:style w:type="paragraph" w:styleId="BodyText">
    <w:name w:val="Body Text"/>
    <w:link w:val="BodyTextChar"/>
    <w:unhideWhenUsed/>
    <w:qFormat/>
    <w:rsid w:val="0014311E"/>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14311E"/>
    <w:rPr>
      <w:rFonts w:ascii="Calibri" w:hAnsi="Calibri" w:cs="Calibri"/>
      <w:color w:val="000000"/>
      <w:u w:color="000000"/>
    </w:rPr>
  </w:style>
  <w:style w:type="paragraph" w:customStyle="1" w:styleId="FooterReport">
    <w:name w:val="Footer: Report"/>
    <w:basedOn w:val="Normal"/>
    <w:semiHidden/>
    <w:unhideWhenUsed/>
    <w:rsid w:val="0014311E"/>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14311E"/>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14311E"/>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14311E"/>
    <w:rPr>
      <w:rFonts w:ascii="Calibri" w:hAnsi="Calibri" w:cs="Calibri"/>
      <w:color w:val="000000"/>
      <w:sz w:val="20"/>
      <w:u w:color="000000"/>
    </w:rPr>
  </w:style>
  <w:style w:type="paragraph" w:customStyle="1" w:styleId="HeaderFollower">
    <w:name w:val="Header: Follower"/>
    <w:basedOn w:val="Normal"/>
    <w:qFormat/>
    <w:rsid w:val="0014311E"/>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14311E"/>
    <w:rPr>
      <w:sz w:val="14"/>
    </w:rPr>
  </w:style>
  <w:style w:type="character" w:styleId="Hyperlink">
    <w:name w:val="Hyperlink"/>
    <w:basedOn w:val="DefaultParagraphFont"/>
    <w:uiPriority w:val="99"/>
    <w:unhideWhenUsed/>
    <w:rsid w:val="0014311E"/>
    <w:rPr>
      <w:color w:val="0000FF" w:themeColor="hyperlink"/>
      <w:u w:val="single"/>
    </w:rPr>
  </w:style>
  <w:style w:type="paragraph" w:styleId="NormalWeb">
    <w:name w:val="Normal (Web)"/>
    <w:basedOn w:val="Normal"/>
    <w:uiPriority w:val="99"/>
    <w:unhideWhenUsed/>
    <w:rsid w:val="0014311E"/>
  </w:style>
  <w:style w:type="paragraph" w:styleId="PlainText">
    <w:name w:val="Plain Text"/>
    <w:basedOn w:val="Normal"/>
    <w:link w:val="PlainTextChar"/>
    <w:uiPriority w:val="99"/>
    <w:semiHidden/>
    <w:unhideWhenUsed/>
    <w:rsid w:val="0014311E"/>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14311E"/>
    <w:rPr>
      <w:rFonts w:ascii="Calibri" w:hAnsi="Calibri"/>
      <w:szCs w:val="21"/>
      <w:u w:color="000000"/>
    </w:rPr>
  </w:style>
  <w:style w:type="paragraph" w:customStyle="1" w:styleId="filebox">
    <w:name w:val="file_box"/>
    <w:basedOn w:val="Normal"/>
    <w:rsid w:val="0084708B"/>
    <w:pPr>
      <w:spacing w:before="100" w:beforeAutospacing="1" w:after="100" w:afterAutospacing="1"/>
    </w:pPr>
    <w:rPr>
      <w:rFonts w:eastAsia="Times New Roman"/>
      <w:lang w:val="en-AU" w:eastAsia="en-AU"/>
    </w:rPr>
  </w:style>
  <w:style w:type="paragraph" w:customStyle="1" w:styleId="xbhead">
    <w:name w:val="xbhead"/>
    <w:basedOn w:val="Normal"/>
    <w:rsid w:val="008A6E34"/>
    <w:pPr>
      <w:spacing w:before="120" w:after="60"/>
    </w:pPr>
    <w:rPr>
      <w:rFonts w:ascii="Arial" w:eastAsia="MS Gothic" w:hAnsi="Arial"/>
      <w:sz w:val="36"/>
      <w:szCs w:val="32"/>
      <w:lang w:val="en-AU" w:eastAsia="en-AU"/>
    </w:rPr>
  </w:style>
  <w:style w:type="character" w:styleId="FollowedHyperlink">
    <w:name w:val="FollowedHyperlink"/>
    <w:basedOn w:val="DefaultParagraphFont"/>
    <w:uiPriority w:val="99"/>
    <w:semiHidden/>
    <w:unhideWhenUsed/>
    <w:rsid w:val="00E0115A"/>
    <w:rPr>
      <w:color w:val="800080" w:themeColor="followedHyperlink"/>
      <w:u w:val="single"/>
    </w:rPr>
  </w:style>
  <w:style w:type="paragraph" w:styleId="BalloonText">
    <w:name w:val="Balloon Text"/>
    <w:basedOn w:val="Normal"/>
    <w:link w:val="BalloonTextChar"/>
    <w:uiPriority w:val="99"/>
    <w:semiHidden/>
    <w:unhideWhenUsed/>
    <w:rsid w:val="00E0115A"/>
    <w:rPr>
      <w:rFonts w:ascii="Tahoma" w:hAnsi="Tahoma" w:cs="Tahoma"/>
      <w:sz w:val="16"/>
      <w:szCs w:val="16"/>
    </w:rPr>
  </w:style>
  <w:style w:type="character" w:customStyle="1" w:styleId="BalloonTextChar">
    <w:name w:val="Balloon Text Char"/>
    <w:basedOn w:val="DefaultParagraphFont"/>
    <w:link w:val="BalloonText"/>
    <w:uiPriority w:val="99"/>
    <w:semiHidden/>
    <w:rsid w:val="00E0115A"/>
    <w:rPr>
      <w:rFonts w:ascii="Tahoma" w:eastAsiaTheme="minorEastAsia" w:hAnsi="Tahoma" w:cs="Tahoma"/>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1E"/>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14311E"/>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14311E"/>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14311E"/>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14311E"/>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14311E"/>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11E"/>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14311E"/>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14311E"/>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14311E"/>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14311E"/>
    <w:rPr>
      <w:rFonts w:ascii="Calibri" w:eastAsiaTheme="majorEastAsia" w:hAnsi="Calibri" w:cs="Calibri"/>
      <w:b/>
      <w:iCs/>
      <w:color w:val="000000"/>
      <w:sz w:val="20"/>
      <w:szCs w:val="26"/>
      <w:u w:color="000000"/>
    </w:rPr>
  </w:style>
  <w:style w:type="paragraph" w:customStyle="1" w:styleId="NormalBase">
    <w:name w:val="Normal Base"/>
    <w:rsid w:val="0014311E"/>
    <w:pPr>
      <w:spacing w:after="0" w:line="240" w:lineRule="auto"/>
    </w:pPr>
    <w:rPr>
      <w:rFonts w:ascii="Calibri" w:hAnsi="Calibri" w:cs="Calibri"/>
      <w:color w:val="000000"/>
      <w:sz w:val="20"/>
      <w:u w:color="000000"/>
    </w:rPr>
  </w:style>
  <w:style w:type="paragraph" w:styleId="BodyText">
    <w:name w:val="Body Text"/>
    <w:link w:val="BodyTextChar"/>
    <w:unhideWhenUsed/>
    <w:qFormat/>
    <w:rsid w:val="0014311E"/>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14311E"/>
    <w:rPr>
      <w:rFonts w:ascii="Calibri" w:hAnsi="Calibri" w:cs="Calibri"/>
      <w:color w:val="000000"/>
      <w:u w:color="000000"/>
    </w:rPr>
  </w:style>
  <w:style w:type="paragraph" w:customStyle="1" w:styleId="FooterReport">
    <w:name w:val="Footer: Report"/>
    <w:basedOn w:val="Normal"/>
    <w:semiHidden/>
    <w:unhideWhenUsed/>
    <w:rsid w:val="0014311E"/>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14311E"/>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14311E"/>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14311E"/>
    <w:rPr>
      <w:rFonts w:ascii="Calibri" w:hAnsi="Calibri" w:cs="Calibri"/>
      <w:color w:val="000000"/>
      <w:sz w:val="20"/>
      <w:u w:color="000000"/>
    </w:rPr>
  </w:style>
  <w:style w:type="paragraph" w:customStyle="1" w:styleId="HeaderFollower">
    <w:name w:val="Header: Follower"/>
    <w:basedOn w:val="Normal"/>
    <w:qFormat/>
    <w:rsid w:val="0014311E"/>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14311E"/>
    <w:rPr>
      <w:sz w:val="14"/>
    </w:rPr>
  </w:style>
  <w:style w:type="character" w:styleId="Hyperlink">
    <w:name w:val="Hyperlink"/>
    <w:basedOn w:val="DefaultParagraphFont"/>
    <w:uiPriority w:val="99"/>
    <w:unhideWhenUsed/>
    <w:rsid w:val="0014311E"/>
    <w:rPr>
      <w:color w:val="0000FF" w:themeColor="hyperlink"/>
      <w:u w:val="single"/>
    </w:rPr>
  </w:style>
  <w:style w:type="paragraph" w:styleId="NormalWeb">
    <w:name w:val="Normal (Web)"/>
    <w:basedOn w:val="Normal"/>
    <w:uiPriority w:val="99"/>
    <w:unhideWhenUsed/>
    <w:rsid w:val="0014311E"/>
  </w:style>
  <w:style w:type="paragraph" w:styleId="PlainText">
    <w:name w:val="Plain Text"/>
    <w:basedOn w:val="Normal"/>
    <w:link w:val="PlainTextChar"/>
    <w:uiPriority w:val="99"/>
    <w:semiHidden/>
    <w:unhideWhenUsed/>
    <w:rsid w:val="0014311E"/>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14311E"/>
    <w:rPr>
      <w:rFonts w:ascii="Calibri" w:hAnsi="Calibri"/>
      <w:szCs w:val="21"/>
      <w:u w:color="000000"/>
    </w:rPr>
  </w:style>
  <w:style w:type="paragraph" w:customStyle="1" w:styleId="filebox">
    <w:name w:val="file_box"/>
    <w:basedOn w:val="Normal"/>
    <w:rsid w:val="0084708B"/>
    <w:pPr>
      <w:spacing w:before="100" w:beforeAutospacing="1" w:after="100" w:afterAutospacing="1"/>
    </w:pPr>
    <w:rPr>
      <w:rFonts w:eastAsia="Times New Roman"/>
      <w:lang w:val="en-AU" w:eastAsia="en-AU"/>
    </w:rPr>
  </w:style>
  <w:style w:type="paragraph" w:customStyle="1" w:styleId="xbhead">
    <w:name w:val="xbhead"/>
    <w:basedOn w:val="Normal"/>
    <w:rsid w:val="008A6E34"/>
    <w:pPr>
      <w:spacing w:before="120" w:after="60"/>
    </w:pPr>
    <w:rPr>
      <w:rFonts w:ascii="Arial" w:eastAsia="MS Gothic" w:hAnsi="Arial"/>
      <w:sz w:val="36"/>
      <w:szCs w:val="32"/>
      <w:lang w:val="en-AU" w:eastAsia="en-AU"/>
    </w:rPr>
  </w:style>
  <w:style w:type="character" w:styleId="FollowedHyperlink">
    <w:name w:val="FollowedHyperlink"/>
    <w:basedOn w:val="DefaultParagraphFont"/>
    <w:uiPriority w:val="99"/>
    <w:semiHidden/>
    <w:unhideWhenUsed/>
    <w:rsid w:val="00E0115A"/>
    <w:rPr>
      <w:color w:val="800080" w:themeColor="followedHyperlink"/>
      <w:u w:val="single"/>
    </w:rPr>
  </w:style>
  <w:style w:type="paragraph" w:styleId="BalloonText">
    <w:name w:val="Balloon Text"/>
    <w:basedOn w:val="Normal"/>
    <w:link w:val="BalloonTextChar"/>
    <w:uiPriority w:val="99"/>
    <w:semiHidden/>
    <w:unhideWhenUsed/>
    <w:rsid w:val="00E0115A"/>
    <w:rPr>
      <w:rFonts w:ascii="Tahoma" w:hAnsi="Tahoma" w:cs="Tahoma"/>
      <w:sz w:val="16"/>
      <w:szCs w:val="16"/>
    </w:rPr>
  </w:style>
  <w:style w:type="character" w:customStyle="1" w:styleId="BalloonTextChar">
    <w:name w:val="Balloon Text Char"/>
    <w:basedOn w:val="DefaultParagraphFont"/>
    <w:link w:val="BalloonText"/>
    <w:uiPriority w:val="99"/>
    <w:semiHidden/>
    <w:rsid w:val="00E0115A"/>
    <w:rPr>
      <w:rFonts w:ascii="Tahoma" w:eastAsiaTheme="minorEastAsia" w:hAnsi="Tahoma" w:cs="Tahoma"/>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8956">
      <w:bodyDiv w:val="1"/>
      <w:marLeft w:val="0"/>
      <w:marRight w:val="0"/>
      <w:marTop w:val="0"/>
      <w:marBottom w:val="0"/>
      <w:divBdr>
        <w:top w:val="none" w:sz="0" w:space="0" w:color="auto"/>
        <w:left w:val="none" w:sz="0" w:space="0" w:color="auto"/>
        <w:bottom w:val="none" w:sz="0" w:space="0" w:color="auto"/>
        <w:right w:val="none" w:sz="0" w:space="0" w:color="auto"/>
      </w:divBdr>
    </w:div>
    <w:div w:id="161893267">
      <w:bodyDiv w:val="1"/>
      <w:marLeft w:val="0"/>
      <w:marRight w:val="0"/>
      <w:marTop w:val="0"/>
      <w:marBottom w:val="0"/>
      <w:divBdr>
        <w:top w:val="none" w:sz="0" w:space="0" w:color="auto"/>
        <w:left w:val="none" w:sz="0" w:space="0" w:color="auto"/>
        <w:bottom w:val="none" w:sz="0" w:space="0" w:color="auto"/>
        <w:right w:val="none" w:sz="0" w:space="0" w:color="auto"/>
      </w:divBdr>
    </w:div>
    <w:div w:id="1644389131">
      <w:bodyDiv w:val="1"/>
      <w:marLeft w:val="0"/>
      <w:marRight w:val="0"/>
      <w:marTop w:val="0"/>
      <w:marBottom w:val="0"/>
      <w:divBdr>
        <w:top w:val="none" w:sz="0" w:space="0" w:color="auto"/>
        <w:left w:val="none" w:sz="0" w:space="0" w:color="auto"/>
        <w:bottom w:val="none" w:sz="0" w:space="0" w:color="auto"/>
        <w:right w:val="none" w:sz="0" w:space="0" w:color="auto"/>
      </w:divBdr>
    </w:div>
    <w:div w:id="1783499557">
      <w:bodyDiv w:val="1"/>
      <w:marLeft w:val="0"/>
      <w:marRight w:val="0"/>
      <w:marTop w:val="0"/>
      <w:marBottom w:val="0"/>
      <w:divBdr>
        <w:top w:val="none" w:sz="0" w:space="0" w:color="auto"/>
        <w:left w:val="none" w:sz="0" w:space="0" w:color="auto"/>
        <w:bottom w:val="none" w:sz="0" w:space="0" w:color="auto"/>
        <w:right w:val="none" w:sz="0" w:space="0" w:color="auto"/>
      </w:divBdr>
    </w:div>
    <w:div w:id="1999066736">
      <w:bodyDiv w:val="1"/>
      <w:marLeft w:val="0"/>
      <w:marRight w:val="0"/>
      <w:marTop w:val="0"/>
      <w:marBottom w:val="0"/>
      <w:divBdr>
        <w:top w:val="none" w:sz="0" w:space="0" w:color="auto"/>
        <w:left w:val="none" w:sz="0" w:space="0" w:color="auto"/>
        <w:bottom w:val="none" w:sz="0" w:space="0" w:color="auto"/>
        <w:right w:val="none" w:sz="0" w:space="0" w:color="auto"/>
      </w:divBdr>
    </w:div>
    <w:div w:id="20113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deakin.edu.au/view/DU:30056855" TargetMode="External"/><Relationship Id="rId13" Type="http://schemas.openxmlformats.org/officeDocument/2006/relationships/hyperlink" Target="http://viclawreformcommission.createsend1.com/t/j-l-tihrhul-hhfjihkh-i/" TargetMode="External"/><Relationship Id="rId18" Type="http://schemas.openxmlformats.org/officeDocument/2006/relationships/hyperlink" Target="http://www.deakin.edu.au/research/performance/era/2015/"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deakin.edu.au/research-services/forms/v/5776/18-law-and-legal-studies.xlsx" TargetMode="External"/><Relationship Id="rId7" Type="http://schemas.openxmlformats.org/officeDocument/2006/relationships/endnotes" Target="endnotes.xml"/><Relationship Id="rId12" Type="http://schemas.openxmlformats.org/officeDocument/2006/relationships/hyperlink" Target="http://www.uws.edu.au/elr/elder_law/elder_law_review_volume_7" TargetMode="External"/><Relationship Id="rId17" Type="http://schemas.openxmlformats.org/officeDocument/2006/relationships/hyperlink" Target="http://www.deakin.edu.au/research/performance/era/201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eakin.edu.au/research/performance/era/2015/" TargetMode="External"/><Relationship Id="rId20" Type="http://schemas.openxmlformats.org/officeDocument/2006/relationships/hyperlink" Target="http://www.deakin.edu.au/research/performance/era/20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ro.deakin.edu.au/view/DU:30056183" TargetMode="External"/><Relationship Id="rId24" Type="http://schemas.openxmlformats.org/officeDocument/2006/relationships/hyperlink" Target="http://www.deakin.edu.au/research-services/forms/v/5882/1801-law.xlsx" TargetMode="External"/><Relationship Id="rId5" Type="http://schemas.openxmlformats.org/officeDocument/2006/relationships/webSettings" Target="webSettings.xml"/><Relationship Id="rId15" Type="http://schemas.openxmlformats.org/officeDocument/2006/relationships/hyperlink" Target="http://www.innovation.gov.au/research/Pages/ResearchImpactAssessment.aspx" TargetMode="External"/><Relationship Id="rId23" Type="http://schemas.openxmlformats.org/officeDocument/2006/relationships/hyperlink" Target="http://www.deakin.edu.au/research-services/forms/v/5799/18-law-and-legal-studies.xlsx" TargetMode="External"/><Relationship Id="rId28" Type="http://schemas.openxmlformats.org/officeDocument/2006/relationships/footer" Target="footer2.xml"/><Relationship Id="rId10" Type="http://schemas.openxmlformats.org/officeDocument/2006/relationships/hyperlink" Target="http://dro.deakin.edu.au/view/DU:30056182" TargetMode="External"/><Relationship Id="rId19" Type="http://schemas.openxmlformats.org/officeDocument/2006/relationships/hyperlink" Target="http://www.deakin.edu.au/research/performance/era/2015/" TargetMode="External"/><Relationship Id="rId4" Type="http://schemas.openxmlformats.org/officeDocument/2006/relationships/settings" Target="settings.xml"/><Relationship Id="rId9" Type="http://schemas.openxmlformats.org/officeDocument/2006/relationships/hyperlink" Target="http://dro.deakin.edu.au/view/DU:30056648" TargetMode="External"/><Relationship Id="rId14" Type="http://schemas.openxmlformats.org/officeDocument/2006/relationships/hyperlink" Target="http://www.arc.gov.au/era/default.htm" TargetMode="External"/><Relationship Id="rId22" Type="http://schemas.openxmlformats.org/officeDocument/2006/relationships/hyperlink" Target="http://www.deakin.edu.au/research-services/forms/v/5827/1801-law.xlsx"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2013-10-19T13:30:00Z</dcterms:created>
  <dcterms:modified xsi:type="dcterms:W3CDTF">2013-10-19T13:30:00Z</dcterms:modified>
</cp:coreProperties>
</file>