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31" w:rsidRPr="00EA283C" w:rsidRDefault="009D4031" w:rsidP="009D4031">
      <w:pPr>
        <w:keepLines/>
        <w:spacing w:before="40" w:after="120" w:line="280" w:lineRule="atLeast"/>
        <w:ind w:left="414" w:firstLine="720"/>
        <w:jc w:val="center"/>
        <w:rPr>
          <w:rFonts w:eastAsiaTheme="minorEastAsia" w:cstheme="minorHAnsi"/>
          <w:b/>
          <w:color w:val="002060"/>
          <w:sz w:val="44"/>
          <w:szCs w:val="44"/>
          <w:u w:color="000000"/>
          <w:lang w:val="en-US"/>
        </w:rPr>
      </w:pPr>
      <w:bookmarkStart w:id="0" w:name="_GoBack"/>
      <w:bookmarkEnd w:id="0"/>
      <w:r w:rsidRPr="00EA283C">
        <w:rPr>
          <w:rFonts w:eastAsiaTheme="majorEastAsia" w:cstheme="minorHAnsi"/>
          <w:b/>
          <w:bCs/>
          <w:color w:val="002060"/>
          <w:spacing w:val="20"/>
          <w:sz w:val="44"/>
          <w:szCs w:val="44"/>
          <w:u w:color="000000"/>
        </w:rPr>
        <w:t>DEAKIN UNIVERSITY</w:t>
      </w:r>
    </w:p>
    <w:p w:rsidR="009D4031" w:rsidRPr="00EA283C" w:rsidRDefault="009D4031" w:rsidP="009D4031">
      <w:pPr>
        <w:keepLines/>
        <w:spacing w:before="40" w:after="120" w:line="280" w:lineRule="atLeast"/>
        <w:ind w:left="414" w:firstLine="720"/>
        <w:jc w:val="center"/>
        <w:rPr>
          <w:rFonts w:eastAsiaTheme="minorEastAsia" w:cstheme="minorHAnsi"/>
          <w:b/>
          <w:color w:val="002060"/>
          <w:sz w:val="40"/>
          <w:szCs w:val="40"/>
          <w:u w:color="000000"/>
          <w:lang w:val="en-US"/>
        </w:rPr>
      </w:pPr>
      <w:r w:rsidRPr="00EA283C">
        <w:rPr>
          <w:rFonts w:eastAsiaTheme="majorEastAsia" w:cstheme="minorHAnsi"/>
          <w:b/>
          <w:bCs/>
          <w:color w:val="002060"/>
          <w:spacing w:val="20"/>
          <w:sz w:val="40"/>
          <w:szCs w:val="40"/>
          <w:u w:color="000000"/>
        </w:rPr>
        <w:t>SCH</w:t>
      </w:r>
      <w:r>
        <w:rPr>
          <w:rFonts w:eastAsiaTheme="majorEastAsia" w:cstheme="minorHAnsi"/>
          <w:b/>
          <w:bCs/>
          <w:color w:val="002060"/>
          <w:spacing w:val="20"/>
          <w:sz w:val="40"/>
          <w:szCs w:val="40"/>
          <w:u w:color="000000"/>
        </w:rPr>
        <w:t xml:space="preserve">OOL OF LAW RESEARCH REPORT No </w:t>
      </w:r>
      <w:r w:rsidR="000D5514">
        <w:rPr>
          <w:rFonts w:eastAsiaTheme="majorEastAsia" w:cstheme="minorHAnsi"/>
          <w:b/>
          <w:bCs/>
          <w:color w:val="002060"/>
          <w:spacing w:val="20"/>
          <w:sz w:val="40"/>
          <w:szCs w:val="40"/>
          <w:u w:color="000000"/>
        </w:rPr>
        <w:t>1</w:t>
      </w:r>
    </w:p>
    <w:p w:rsidR="009D4031" w:rsidRPr="00EA283C" w:rsidRDefault="000D5514" w:rsidP="009D4031">
      <w:pPr>
        <w:keepLines/>
        <w:spacing w:before="40" w:after="120" w:line="280" w:lineRule="atLeast"/>
        <w:ind w:left="414" w:firstLine="720"/>
        <w:jc w:val="center"/>
        <w:rPr>
          <w:rFonts w:eastAsiaTheme="majorEastAsia" w:cstheme="minorHAnsi"/>
          <w:b/>
          <w:bCs/>
          <w:color w:val="002060"/>
          <w:spacing w:val="20"/>
          <w:sz w:val="32"/>
          <w:szCs w:val="28"/>
          <w:u w:color="000000"/>
        </w:rPr>
      </w:pPr>
      <w:r>
        <w:rPr>
          <w:rFonts w:eastAsiaTheme="majorEastAsia" w:cstheme="minorHAnsi"/>
          <w:b/>
          <w:bCs/>
          <w:color w:val="002060"/>
          <w:spacing w:val="20"/>
          <w:sz w:val="32"/>
          <w:szCs w:val="28"/>
          <w:u w:color="000000"/>
        </w:rPr>
        <w:t>17</w:t>
      </w:r>
      <w:r w:rsidR="009D4031" w:rsidRPr="00EA283C">
        <w:rPr>
          <w:rFonts w:eastAsiaTheme="majorEastAsia" w:cstheme="minorHAnsi"/>
          <w:b/>
          <w:bCs/>
          <w:color w:val="002060"/>
          <w:spacing w:val="20"/>
          <w:sz w:val="32"/>
          <w:szCs w:val="28"/>
          <w:u w:color="000000"/>
        </w:rPr>
        <w:t>/1/201</w:t>
      </w:r>
      <w:r>
        <w:rPr>
          <w:rFonts w:eastAsiaTheme="majorEastAsia" w:cstheme="minorHAnsi"/>
          <w:b/>
          <w:bCs/>
          <w:color w:val="002060"/>
          <w:spacing w:val="20"/>
          <w:sz w:val="32"/>
          <w:szCs w:val="28"/>
          <w:u w:color="000000"/>
        </w:rPr>
        <w:t>4</w:t>
      </w:r>
    </w:p>
    <w:p w:rsidR="009D4031" w:rsidRDefault="009D4031" w:rsidP="009D4031">
      <w:pPr>
        <w:keepLines/>
        <w:spacing w:before="40" w:after="120" w:line="280" w:lineRule="atLeast"/>
        <w:ind w:left="414" w:firstLine="720"/>
        <w:jc w:val="center"/>
        <w:rPr>
          <w:rFonts w:eastAsiaTheme="majorEastAsia" w:cstheme="minorHAnsi"/>
          <w:b/>
          <w:bCs/>
          <w:color w:val="000000"/>
          <w:spacing w:val="20"/>
          <w:sz w:val="32"/>
          <w:szCs w:val="28"/>
          <w:u w:color="000000"/>
        </w:rPr>
      </w:pPr>
    </w:p>
    <w:p w:rsidR="009D4031" w:rsidRDefault="009D4031" w:rsidP="009D4031">
      <w:pPr>
        <w:keepLines/>
        <w:spacing w:before="40" w:after="120" w:line="280" w:lineRule="atLeast"/>
        <w:ind w:left="414" w:firstLine="720"/>
        <w:jc w:val="center"/>
        <w:rPr>
          <w:rFonts w:eastAsiaTheme="minorEastAsia" w:cstheme="minorHAnsi"/>
          <w:b/>
          <w:color w:val="C00000"/>
          <w:sz w:val="28"/>
          <w:szCs w:val="28"/>
          <w:u w:color="000000"/>
          <w:lang w:val="en-US"/>
        </w:rPr>
      </w:pPr>
      <w:r w:rsidRPr="00073F83">
        <w:rPr>
          <w:rFonts w:eastAsiaTheme="minorEastAsia" w:cstheme="minorHAnsi"/>
          <w:b/>
          <w:color w:val="C00000"/>
          <w:sz w:val="28"/>
          <w:szCs w:val="28"/>
          <w:u w:color="000000"/>
          <w:lang w:val="en-US"/>
        </w:rPr>
        <w:t>RECENT PUBLICATIONS</w:t>
      </w:r>
    </w:p>
    <w:p w:rsidR="009D4031" w:rsidRDefault="009D4031" w:rsidP="009D4031">
      <w:pPr>
        <w:keepLines/>
        <w:spacing w:before="40" w:after="120" w:line="280" w:lineRule="atLeast"/>
        <w:ind w:left="414" w:firstLine="720"/>
        <w:rPr>
          <w:rFonts w:eastAsiaTheme="minorEastAsia" w:cstheme="minorHAnsi"/>
          <w:b/>
          <w:color w:val="7030A0"/>
          <w:sz w:val="24"/>
          <w:szCs w:val="24"/>
          <w:u w:color="000000"/>
          <w:lang w:val="en-US"/>
        </w:rPr>
      </w:pPr>
      <w:r w:rsidRPr="00073F83">
        <w:rPr>
          <w:rFonts w:eastAsiaTheme="minorEastAsia" w:cstheme="minorHAnsi"/>
          <w:b/>
          <w:color w:val="7030A0"/>
          <w:sz w:val="24"/>
          <w:szCs w:val="24"/>
          <w:u w:color="000000"/>
          <w:lang w:val="en-US"/>
        </w:rPr>
        <w:t>Congratulations to the author of the following recent publication:</w:t>
      </w:r>
    </w:p>
    <w:p w:rsidR="00541936" w:rsidRPr="00541936" w:rsidRDefault="00541936" w:rsidP="00541936">
      <w:pPr>
        <w:pStyle w:val="Heading2"/>
        <w:rPr>
          <w:rFonts w:asciiTheme="minorHAnsi" w:eastAsiaTheme="minorEastAsia" w:hAnsiTheme="minorHAnsi" w:cstheme="minorHAnsi"/>
          <w:color w:val="002060"/>
          <w:szCs w:val="24"/>
          <w:lang w:val="en-US"/>
        </w:rPr>
      </w:pPr>
      <w:r w:rsidRPr="00541936">
        <w:rPr>
          <w:rFonts w:asciiTheme="minorHAnsi" w:eastAsiaTheme="minorEastAsia" w:hAnsiTheme="minorHAnsi" w:cstheme="minorHAnsi"/>
          <w:color w:val="C00000"/>
          <w:szCs w:val="24"/>
          <w:lang w:val="en-US"/>
        </w:rPr>
        <w:t>Lang Thai</w:t>
      </w:r>
      <w:r w:rsidRPr="00541936">
        <w:rPr>
          <w:rFonts w:asciiTheme="minorHAnsi" w:eastAsiaTheme="minorEastAsia" w:hAnsiTheme="minorHAnsi" w:cstheme="minorHAnsi"/>
          <w:b w:val="0"/>
          <w:color w:val="002060"/>
          <w:szCs w:val="24"/>
          <w:lang w:val="en-US"/>
        </w:rPr>
        <w:t xml:space="preserve">, </w:t>
      </w:r>
      <w:r>
        <w:rPr>
          <w:rFonts w:asciiTheme="minorHAnsi" w:eastAsiaTheme="minorEastAsia" w:hAnsiTheme="minorHAnsi" w:cstheme="minorHAnsi"/>
          <w:b w:val="0"/>
          <w:color w:val="002060"/>
          <w:szCs w:val="24"/>
          <w:lang w:val="en-US"/>
        </w:rPr>
        <w:t>‘</w:t>
      </w:r>
      <w:r w:rsidRPr="00541936">
        <w:rPr>
          <w:rFonts w:asciiTheme="minorHAnsi" w:eastAsiaTheme="minorEastAsia" w:hAnsiTheme="minorHAnsi" w:cstheme="minorHAnsi"/>
          <w:b w:val="0"/>
          <w:color w:val="002060"/>
          <w:szCs w:val="24"/>
          <w:lang w:val="en-US"/>
        </w:rPr>
        <w:t>Calling for reform to the statutory derivative action in Australia: Critical analysis and suggestions for reform</w:t>
      </w:r>
      <w:r>
        <w:rPr>
          <w:rFonts w:asciiTheme="minorHAnsi" w:eastAsiaTheme="minorEastAsia" w:hAnsiTheme="minorHAnsi" w:cstheme="minorHAnsi"/>
          <w:b w:val="0"/>
          <w:color w:val="002060"/>
          <w:szCs w:val="24"/>
          <w:lang w:val="en-US"/>
        </w:rPr>
        <w:t>’</w:t>
      </w:r>
      <w:r w:rsidRPr="00541936">
        <w:rPr>
          <w:rFonts w:asciiTheme="minorHAnsi" w:eastAsiaTheme="minorEastAsia" w:hAnsiTheme="minorHAnsi" w:cstheme="minorHAnsi"/>
          <w:b w:val="0"/>
          <w:color w:val="002060"/>
          <w:szCs w:val="24"/>
          <w:lang w:val="en-US"/>
        </w:rPr>
        <w:t xml:space="preserve"> (2013) 21 </w:t>
      </w:r>
      <w:r w:rsidRPr="00541936">
        <w:rPr>
          <w:rFonts w:asciiTheme="minorHAnsi" w:eastAsiaTheme="minorEastAsia" w:hAnsiTheme="minorHAnsi" w:cstheme="minorHAnsi"/>
          <w:b w:val="0"/>
          <w:i/>
          <w:color w:val="002060"/>
          <w:szCs w:val="24"/>
          <w:lang w:val="en-US"/>
        </w:rPr>
        <w:t>Insolvency Law Journal</w:t>
      </w:r>
      <w:r w:rsidRPr="00541936">
        <w:rPr>
          <w:rFonts w:asciiTheme="minorHAnsi" w:eastAsiaTheme="minorEastAsia" w:hAnsiTheme="minorHAnsi" w:cstheme="minorHAnsi"/>
          <w:b w:val="0"/>
          <w:color w:val="002060"/>
          <w:szCs w:val="24"/>
          <w:lang w:val="en-US"/>
        </w:rPr>
        <w:t xml:space="preserve"> 242-262. </w:t>
      </w:r>
      <w:r>
        <w:rPr>
          <w:rFonts w:asciiTheme="minorHAnsi" w:eastAsiaTheme="minorEastAsia" w:hAnsiTheme="minorHAnsi" w:cstheme="minorHAnsi"/>
          <w:b w:val="0"/>
          <w:color w:val="002060"/>
          <w:szCs w:val="24"/>
          <w:lang w:val="en-US"/>
        </w:rPr>
        <w:t>[C1]</w:t>
      </w:r>
      <w:r w:rsidRPr="00541936">
        <w:rPr>
          <w:rFonts w:asciiTheme="minorHAnsi" w:eastAsiaTheme="minorEastAsia" w:hAnsiTheme="minorHAnsi" w:cstheme="minorHAnsi"/>
          <w:b w:val="0"/>
          <w:color w:val="002060"/>
          <w:szCs w:val="24"/>
          <w:lang w:val="en-US"/>
        </w:rPr>
        <w:t xml:space="preserve"> </w:t>
      </w:r>
    </w:p>
    <w:p w:rsidR="009D4031" w:rsidRDefault="009D4031" w:rsidP="009D4031">
      <w:pPr>
        <w:pStyle w:val="Heading2"/>
        <w:rPr>
          <w:rFonts w:asciiTheme="minorHAnsi" w:eastAsiaTheme="minorEastAsia" w:hAnsiTheme="minorHAnsi" w:cstheme="minorHAnsi"/>
          <w:b w:val="0"/>
          <w:color w:val="002060"/>
          <w:szCs w:val="24"/>
          <w:lang w:val="en-US"/>
        </w:rPr>
      </w:pPr>
      <w:r w:rsidRPr="009D4031">
        <w:rPr>
          <w:rFonts w:asciiTheme="minorHAnsi" w:eastAsiaTheme="minorEastAsia" w:hAnsiTheme="minorHAnsi" w:cstheme="minorHAnsi"/>
          <w:color w:val="C00000"/>
          <w:szCs w:val="24"/>
          <w:lang w:val="en-US"/>
        </w:rPr>
        <w:t>Mirko Bagaric</w:t>
      </w:r>
      <w:r w:rsidRPr="009D4031">
        <w:rPr>
          <w:rFonts w:asciiTheme="minorHAnsi" w:eastAsiaTheme="minorEastAsia" w:hAnsiTheme="minorHAnsi" w:cstheme="minorHAnsi"/>
          <w:b w:val="0"/>
          <w:color w:val="C00000"/>
          <w:szCs w:val="24"/>
          <w:lang w:val="en-US"/>
        </w:rPr>
        <w:t xml:space="preserve"> </w:t>
      </w:r>
      <w:r w:rsidRPr="009D4031">
        <w:rPr>
          <w:rFonts w:asciiTheme="minorHAnsi" w:eastAsiaTheme="minorEastAsia" w:hAnsiTheme="minorHAnsi" w:cstheme="minorHAnsi"/>
          <w:b w:val="0"/>
          <w:color w:val="002060"/>
          <w:szCs w:val="24"/>
          <w:lang w:val="en-US"/>
        </w:rPr>
        <w:t xml:space="preserve">and </w:t>
      </w:r>
      <w:r w:rsidRPr="009D4031">
        <w:rPr>
          <w:rFonts w:asciiTheme="minorHAnsi" w:eastAsiaTheme="minorEastAsia" w:hAnsiTheme="minorHAnsi" w:cstheme="minorHAnsi"/>
          <w:color w:val="C00000"/>
          <w:szCs w:val="24"/>
          <w:lang w:val="en-US"/>
        </w:rPr>
        <w:t>Theo Alexander</w:t>
      </w:r>
      <w:r w:rsidRPr="009D4031">
        <w:rPr>
          <w:rFonts w:asciiTheme="minorHAnsi" w:eastAsiaTheme="minorEastAsia" w:hAnsiTheme="minorHAnsi" w:cstheme="minorHAnsi"/>
          <w:b w:val="0"/>
          <w:color w:val="002060"/>
          <w:szCs w:val="24"/>
          <w:lang w:val="en-US"/>
        </w:rPr>
        <w:t>, ‘A Rational Approach to Sen</w:t>
      </w:r>
      <w:r>
        <w:rPr>
          <w:rFonts w:asciiTheme="minorHAnsi" w:eastAsiaTheme="minorEastAsia" w:hAnsiTheme="minorHAnsi" w:cstheme="minorHAnsi"/>
          <w:b w:val="0"/>
          <w:color w:val="002060"/>
          <w:szCs w:val="24"/>
          <w:lang w:val="en-US"/>
        </w:rPr>
        <w:t>tencing White-Collar Offenders i</w:t>
      </w:r>
      <w:r w:rsidRPr="009D4031">
        <w:rPr>
          <w:rFonts w:asciiTheme="minorHAnsi" w:eastAsiaTheme="minorEastAsia" w:hAnsiTheme="minorHAnsi" w:cstheme="minorHAnsi"/>
          <w:b w:val="0"/>
          <w:color w:val="002060"/>
          <w:szCs w:val="24"/>
          <w:lang w:val="en-US"/>
        </w:rPr>
        <w:t>n Australia’</w:t>
      </w:r>
      <w:r>
        <w:rPr>
          <w:rFonts w:asciiTheme="minorHAnsi" w:eastAsiaTheme="minorEastAsia" w:hAnsiTheme="minorHAnsi" w:cstheme="minorHAnsi"/>
          <w:b w:val="0"/>
          <w:color w:val="002060"/>
          <w:szCs w:val="24"/>
          <w:lang w:val="en-US"/>
        </w:rPr>
        <w:t xml:space="preserve"> (2014) Adelaide Law Review 94-123 [C1]</w:t>
      </w:r>
    </w:p>
    <w:p w:rsidR="009D4031" w:rsidRDefault="00FF7B4E" w:rsidP="00FE12FC">
      <w:pPr>
        <w:pStyle w:val="Heading2"/>
        <w:rPr>
          <w:rFonts w:asciiTheme="minorHAnsi" w:eastAsiaTheme="minorEastAsia" w:hAnsiTheme="minorHAnsi" w:cstheme="minorHAnsi"/>
          <w:b w:val="0"/>
          <w:szCs w:val="24"/>
          <w:lang w:val="en-US"/>
        </w:rPr>
      </w:pPr>
      <w:r w:rsidRPr="00FF7B4E">
        <w:rPr>
          <w:rFonts w:eastAsiaTheme="minorEastAsia"/>
          <w:color w:val="C00000"/>
          <w:lang w:val="en-US"/>
        </w:rPr>
        <w:t xml:space="preserve">Danuta Mendelson </w:t>
      </w:r>
      <w:r w:rsidR="00984054">
        <w:rPr>
          <w:rFonts w:eastAsiaTheme="minorEastAsia"/>
          <w:color w:val="C00000"/>
          <w:lang w:val="en-US"/>
        </w:rPr>
        <w:t xml:space="preserve">&amp; </w:t>
      </w:r>
      <w:r w:rsidRPr="00FF7B4E">
        <w:rPr>
          <w:rFonts w:eastAsiaTheme="minorEastAsia"/>
          <w:color w:val="C00000"/>
          <w:lang w:val="en-US"/>
        </w:rPr>
        <w:t>Mirko Bagaric</w:t>
      </w:r>
      <w:r w:rsidRPr="00FF7B4E">
        <w:rPr>
          <w:rFonts w:eastAsiaTheme="minorEastAsia"/>
          <w:lang w:val="en-US"/>
        </w:rPr>
        <w:t xml:space="preserve">, </w:t>
      </w:r>
      <w:r w:rsidRPr="00FE12FC">
        <w:rPr>
          <w:rFonts w:eastAsiaTheme="minorEastAsia"/>
          <w:b w:val="0"/>
          <w:lang w:val="en-US"/>
        </w:rPr>
        <w:t xml:space="preserve">2013, </w:t>
      </w:r>
      <w:r w:rsidR="00FE12FC" w:rsidRPr="00FE12FC">
        <w:rPr>
          <w:b w:val="0"/>
          <w:sz w:val="22"/>
          <w:szCs w:val="22"/>
        </w:rPr>
        <w:t>‘</w:t>
      </w:r>
      <w:r w:rsidRPr="00FE12FC">
        <w:rPr>
          <w:rFonts w:eastAsiaTheme="minorEastAsia"/>
          <w:b w:val="0"/>
          <w:lang w:val="en-US"/>
        </w:rPr>
        <w:t xml:space="preserve">La </w:t>
      </w:r>
      <w:proofErr w:type="spellStart"/>
      <w:r w:rsidRPr="00FE12FC">
        <w:rPr>
          <w:rFonts w:eastAsiaTheme="minorEastAsia"/>
          <w:b w:val="0"/>
          <w:lang w:val="en-US"/>
        </w:rPr>
        <w:t>risoluzione</w:t>
      </w:r>
      <w:proofErr w:type="spellEnd"/>
      <w:r w:rsidRPr="00FE12FC">
        <w:rPr>
          <w:rFonts w:eastAsiaTheme="minorEastAsia"/>
          <w:b w:val="0"/>
          <w:lang w:val="en-US"/>
        </w:rPr>
        <w:t xml:space="preserve"> </w:t>
      </w:r>
      <w:proofErr w:type="spellStart"/>
      <w:r w:rsidRPr="00FE12FC">
        <w:rPr>
          <w:rFonts w:eastAsiaTheme="minorEastAsia"/>
          <w:b w:val="0"/>
          <w:lang w:val="en-US"/>
        </w:rPr>
        <w:t>dei</w:t>
      </w:r>
      <w:proofErr w:type="spellEnd"/>
      <w:r w:rsidRPr="00FE12FC">
        <w:rPr>
          <w:rFonts w:eastAsiaTheme="minorEastAsia"/>
          <w:b w:val="0"/>
          <w:lang w:val="en-US"/>
        </w:rPr>
        <w:t xml:space="preserve"> </w:t>
      </w:r>
      <w:proofErr w:type="spellStart"/>
      <w:r w:rsidRPr="00FE12FC">
        <w:rPr>
          <w:rFonts w:eastAsiaTheme="minorEastAsia"/>
          <w:b w:val="0"/>
          <w:lang w:val="en-US"/>
        </w:rPr>
        <w:t>conflitti</w:t>
      </w:r>
      <w:proofErr w:type="spellEnd"/>
      <w:r w:rsidRPr="00FE12FC">
        <w:rPr>
          <w:rFonts w:eastAsiaTheme="minorEastAsia"/>
          <w:b w:val="0"/>
          <w:lang w:val="en-US"/>
        </w:rPr>
        <w:t xml:space="preserve"> </w:t>
      </w:r>
      <w:proofErr w:type="spellStart"/>
      <w:r w:rsidRPr="00FE12FC">
        <w:rPr>
          <w:rFonts w:eastAsiaTheme="minorEastAsia"/>
          <w:b w:val="0"/>
          <w:lang w:val="en-US"/>
        </w:rPr>
        <w:t>familiari</w:t>
      </w:r>
      <w:proofErr w:type="spellEnd"/>
      <w:r w:rsidRPr="00FE12FC">
        <w:rPr>
          <w:rFonts w:eastAsiaTheme="minorEastAsia"/>
          <w:b w:val="0"/>
          <w:lang w:val="en-US"/>
        </w:rPr>
        <w:t xml:space="preserve"> </w:t>
      </w:r>
      <w:proofErr w:type="spellStart"/>
      <w:r w:rsidRPr="00FE12FC">
        <w:rPr>
          <w:rFonts w:eastAsiaTheme="minorEastAsia"/>
          <w:b w:val="0"/>
          <w:lang w:val="en-US"/>
        </w:rPr>
        <w:t>nell</w:t>
      </w:r>
      <w:r w:rsidR="00FE12FC" w:rsidRPr="00FE12FC">
        <w:rPr>
          <w:rFonts w:eastAsiaTheme="minorEastAsia"/>
          <w:b w:val="0"/>
          <w:lang w:val="en-US"/>
        </w:rPr>
        <w:t>e</w:t>
      </w:r>
      <w:proofErr w:type="spellEnd"/>
      <w:r w:rsidR="00FE12FC" w:rsidRPr="00FE12FC">
        <w:rPr>
          <w:rFonts w:eastAsiaTheme="minorEastAsia"/>
          <w:b w:val="0"/>
          <w:lang w:val="en-US"/>
        </w:rPr>
        <w:t xml:space="preserve"> </w:t>
      </w:r>
      <w:proofErr w:type="spellStart"/>
      <w:r w:rsidRPr="00FE12FC">
        <w:rPr>
          <w:rFonts w:eastAsiaTheme="minorEastAsia"/>
          <w:b w:val="0"/>
          <w:lang w:val="en-US"/>
        </w:rPr>
        <w:t>esperienza</w:t>
      </w:r>
      <w:proofErr w:type="spellEnd"/>
      <w:r w:rsidRPr="00FE12FC">
        <w:rPr>
          <w:rFonts w:eastAsiaTheme="minorEastAsia"/>
          <w:b w:val="0"/>
          <w:lang w:val="en-US"/>
        </w:rPr>
        <w:t xml:space="preserve"> </w:t>
      </w:r>
      <w:proofErr w:type="spellStart"/>
      <w:r w:rsidRPr="00FE12FC">
        <w:rPr>
          <w:rFonts w:eastAsiaTheme="minorEastAsia"/>
          <w:b w:val="0"/>
          <w:lang w:val="en-US"/>
        </w:rPr>
        <w:t>australiana</w:t>
      </w:r>
      <w:proofErr w:type="spellEnd"/>
      <w:r w:rsidRPr="00FE12FC">
        <w:rPr>
          <w:rFonts w:eastAsiaTheme="minorEastAsia"/>
          <w:b w:val="0"/>
          <w:lang w:val="en-US"/>
        </w:rPr>
        <w:t xml:space="preserve">: la </w:t>
      </w:r>
      <w:proofErr w:type="spellStart"/>
      <w:r w:rsidRPr="00FE12FC">
        <w:rPr>
          <w:rFonts w:eastAsiaTheme="minorEastAsia"/>
          <w:b w:val="0"/>
          <w:lang w:val="en-US"/>
        </w:rPr>
        <w:t>necessita</w:t>
      </w:r>
      <w:proofErr w:type="spellEnd"/>
      <w:r w:rsidRPr="00FE12FC">
        <w:rPr>
          <w:rFonts w:eastAsiaTheme="minorEastAsia"/>
          <w:b w:val="0"/>
          <w:lang w:val="en-US"/>
        </w:rPr>
        <w:t xml:space="preserve"> di </w:t>
      </w:r>
      <w:proofErr w:type="spellStart"/>
      <w:r w:rsidRPr="00FE12FC">
        <w:rPr>
          <w:rFonts w:eastAsiaTheme="minorEastAsia"/>
          <w:b w:val="0"/>
          <w:lang w:val="en-US"/>
        </w:rPr>
        <w:t>estendere</w:t>
      </w:r>
      <w:proofErr w:type="spellEnd"/>
      <w:r w:rsidRPr="00FE12FC">
        <w:rPr>
          <w:rFonts w:eastAsiaTheme="minorEastAsia"/>
          <w:b w:val="0"/>
          <w:lang w:val="en-US"/>
        </w:rPr>
        <w:t xml:space="preserve"> </w:t>
      </w:r>
      <w:proofErr w:type="spellStart"/>
      <w:r w:rsidRPr="00FE12FC">
        <w:rPr>
          <w:rFonts w:eastAsiaTheme="minorEastAsia"/>
          <w:b w:val="0"/>
          <w:lang w:val="en-US"/>
        </w:rPr>
        <w:t>ulteriormente</w:t>
      </w:r>
      <w:proofErr w:type="spellEnd"/>
      <w:r w:rsidRPr="00FE12FC">
        <w:rPr>
          <w:rFonts w:eastAsiaTheme="minorEastAsia"/>
          <w:b w:val="0"/>
          <w:lang w:val="en-US"/>
        </w:rPr>
        <w:t xml:space="preserve"> la </w:t>
      </w:r>
      <w:proofErr w:type="spellStart"/>
      <w:r w:rsidRPr="00FE12FC">
        <w:rPr>
          <w:rFonts w:eastAsiaTheme="minorEastAsia"/>
          <w:b w:val="0"/>
          <w:lang w:val="en-US"/>
        </w:rPr>
        <w:t>mediazione</w:t>
      </w:r>
      <w:proofErr w:type="spellEnd"/>
      <w:r w:rsidRPr="00FE12FC">
        <w:rPr>
          <w:rFonts w:eastAsiaTheme="minorEastAsia"/>
          <w:b w:val="0"/>
          <w:lang w:val="en-US"/>
        </w:rPr>
        <w:t xml:space="preserve"> e di </w:t>
      </w:r>
      <w:proofErr w:type="spellStart"/>
      <w:r w:rsidRPr="00FE12FC">
        <w:rPr>
          <w:rFonts w:eastAsiaTheme="minorEastAsia"/>
          <w:b w:val="0"/>
          <w:lang w:val="en-US"/>
        </w:rPr>
        <w:t>ridurre</w:t>
      </w:r>
      <w:proofErr w:type="spellEnd"/>
      <w:r w:rsidRPr="00FE12FC">
        <w:rPr>
          <w:rFonts w:eastAsiaTheme="minorEastAsia"/>
          <w:b w:val="0"/>
          <w:lang w:val="en-US"/>
        </w:rPr>
        <w:t xml:space="preserve"> la </w:t>
      </w:r>
      <w:proofErr w:type="spellStart"/>
      <w:r w:rsidRPr="00FE12FC">
        <w:rPr>
          <w:rFonts w:eastAsiaTheme="minorEastAsia"/>
          <w:b w:val="0"/>
          <w:lang w:val="en-US"/>
        </w:rPr>
        <w:t>funzione</w:t>
      </w:r>
      <w:proofErr w:type="spellEnd"/>
      <w:r w:rsidRPr="00FE12FC">
        <w:rPr>
          <w:rFonts w:eastAsiaTheme="minorEastAsia"/>
          <w:b w:val="0"/>
          <w:lang w:val="en-US"/>
        </w:rPr>
        <w:t xml:space="preserve"> </w:t>
      </w:r>
      <w:proofErr w:type="spellStart"/>
      <w:r w:rsidRPr="00FE12FC">
        <w:rPr>
          <w:rFonts w:eastAsiaTheme="minorEastAsia"/>
          <w:b w:val="0"/>
          <w:lang w:val="en-US"/>
        </w:rPr>
        <w:t>giudicante</w:t>
      </w:r>
      <w:proofErr w:type="spellEnd"/>
      <w:r w:rsidRPr="00FE12FC">
        <w:rPr>
          <w:rFonts w:eastAsiaTheme="minorEastAsia"/>
          <w:b w:val="0"/>
          <w:lang w:val="en-US"/>
        </w:rPr>
        <w:t xml:space="preserve"> delle </w:t>
      </w:r>
      <w:proofErr w:type="spellStart"/>
      <w:r w:rsidRPr="00FE12FC">
        <w:rPr>
          <w:rFonts w:eastAsiaTheme="minorEastAsia"/>
          <w:b w:val="0"/>
          <w:lang w:val="en-US"/>
        </w:rPr>
        <w:t>corti</w:t>
      </w:r>
      <w:proofErr w:type="spellEnd"/>
      <w:r w:rsidR="00FE12FC" w:rsidRPr="00FE12FC">
        <w:rPr>
          <w:rFonts w:eastAsiaTheme="minorEastAsia"/>
          <w:b w:val="0"/>
          <w:lang w:val="en-US"/>
        </w:rPr>
        <w:t>’ (</w:t>
      </w:r>
      <w:r w:rsidR="00FE12FC">
        <w:rPr>
          <w:rFonts w:eastAsiaTheme="minorEastAsia"/>
          <w:b w:val="0"/>
          <w:lang w:val="en-US"/>
        </w:rPr>
        <w:t>‘</w:t>
      </w:r>
      <w:r w:rsidR="00FE12FC" w:rsidRPr="00FE12FC">
        <w:rPr>
          <w:rFonts w:eastAsiaTheme="minorEastAsia"/>
          <w:b w:val="0"/>
          <w:color w:val="002060"/>
          <w:lang w:val="en-US"/>
        </w:rPr>
        <w:t>Family Law Dispute Resolution in Australia: The Need to Further Expand Mediation and Attenuate the Court Determination Process’</w:t>
      </w:r>
      <w:r w:rsidR="00FE12FC">
        <w:rPr>
          <w:rFonts w:eastAsiaTheme="minorEastAsia"/>
          <w:b w:val="0"/>
          <w:color w:val="002060"/>
          <w:lang w:val="en-US"/>
        </w:rPr>
        <w:t xml:space="preserve"> Italian translation)</w:t>
      </w:r>
      <w:r w:rsidRPr="00FF7B4E">
        <w:rPr>
          <w:rFonts w:eastAsiaTheme="minorEastAsia"/>
          <w:lang w:val="en-US"/>
        </w:rPr>
        <w:t xml:space="preserve"> </w:t>
      </w:r>
      <w:r w:rsidRPr="00FE12FC">
        <w:rPr>
          <w:rFonts w:eastAsiaTheme="minorEastAsia"/>
          <w:b w:val="0"/>
          <w:lang w:val="en-US"/>
        </w:rPr>
        <w:t xml:space="preserve">in </w:t>
      </w:r>
      <w:r w:rsidRPr="00FE12FC">
        <w:rPr>
          <w:rFonts w:eastAsiaTheme="minorEastAsia"/>
          <w:b w:val="0"/>
          <w:i/>
          <w:lang w:val="en-US"/>
        </w:rPr>
        <w:t xml:space="preserve">Le ragioni degli altri. </w:t>
      </w:r>
      <w:proofErr w:type="spellStart"/>
      <w:r w:rsidRPr="00FE12FC">
        <w:rPr>
          <w:rFonts w:eastAsiaTheme="minorEastAsia"/>
          <w:b w:val="0"/>
          <w:i/>
          <w:lang w:val="en-US"/>
        </w:rPr>
        <w:t>Mediazione</w:t>
      </w:r>
      <w:proofErr w:type="spellEnd"/>
      <w:r w:rsidRPr="00FE12FC">
        <w:rPr>
          <w:rFonts w:eastAsiaTheme="minorEastAsia"/>
          <w:b w:val="0"/>
          <w:i/>
          <w:lang w:val="en-US"/>
        </w:rPr>
        <w:t xml:space="preserve"> e </w:t>
      </w:r>
      <w:proofErr w:type="spellStart"/>
      <w:r w:rsidRPr="00FE12FC">
        <w:rPr>
          <w:rFonts w:eastAsiaTheme="minorEastAsia"/>
          <w:b w:val="0"/>
          <w:i/>
          <w:lang w:val="en-US"/>
        </w:rPr>
        <w:t>famiglia</w:t>
      </w:r>
      <w:proofErr w:type="spellEnd"/>
      <w:r w:rsidRPr="00FE12FC">
        <w:rPr>
          <w:rFonts w:eastAsiaTheme="minorEastAsia"/>
          <w:b w:val="0"/>
          <w:i/>
          <w:lang w:val="en-US"/>
        </w:rPr>
        <w:t xml:space="preserve"> </w:t>
      </w:r>
      <w:proofErr w:type="spellStart"/>
      <w:r w:rsidRPr="00FE12FC">
        <w:rPr>
          <w:rFonts w:eastAsiaTheme="minorEastAsia"/>
          <w:b w:val="0"/>
          <w:i/>
          <w:lang w:val="en-US"/>
        </w:rPr>
        <w:t>tra</w:t>
      </w:r>
      <w:proofErr w:type="spellEnd"/>
      <w:r w:rsidRPr="00FE12FC">
        <w:rPr>
          <w:rFonts w:eastAsiaTheme="minorEastAsia"/>
          <w:b w:val="0"/>
          <w:i/>
          <w:lang w:val="en-US"/>
        </w:rPr>
        <w:t xml:space="preserve"> </w:t>
      </w:r>
      <w:proofErr w:type="spellStart"/>
      <w:r w:rsidRPr="00FE12FC">
        <w:rPr>
          <w:rFonts w:eastAsiaTheme="minorEastAsia"/>
          <w:b w:val="0"/>
          <w:i/>
          <w:lang w:val="en-US"/>
        </w:rPr>
        <w:t>conflitto</w:t>
      </w:r>
      <w:proofErr w:type="spellEnd"/>
      <w:r w:rsidRPr="00FE12FC">
        <w:rPr>
          <w:rFonts w:eastAsiaTheme="minorEastAsia"/>
          <w:b w:val="0"/>
          <w:i/>
          <w:lang w:val="en-US"/>
        </w:rPr>
        <w:t xml:space="preserve"> e </w:t>
      </w:r>
      <w:proofErr w:type="spellStart"/>
      <w:r w:rsidRPr="00FE12FC">
        <w:rPr>
          <w:rFonts w:eastAsiaTheme="minorEastAsia"/>
          <w:b w:val="0"/>
          <w:i/>
          <w:lang w:val="en-US"/>
        </w:rPr>
        <w:t>dialogo</w:t>
      </w:r>
      <w:proofErr w:type="spellEnd"/>
      <w:r w:rsidRPr="00FE12FC">
        <w:rPr>
          <w:rFonts w:eastAsiaTheme="minorEastAsia"/>
          <w:b w:val="0"/>
          <w:i/>
          <w:lang w:val="en-US"/>
        </w:rPr>
        <w:t xml:space="preserve">: </w:t>
      </w:r>
      <w:proofErr w:type="spellStart"/>
      <w:r w:rsidRPr="00FE12FC">
        <w:rPr>
          <w:rFonts w:eastAsiaTheme="minorEastAsia"/>
          <w:b w:val="0"/>
          <w:i/>
          <w:lang w:val="en-US"/>
        </w:rPr>
        <w:t>Una</w:t>
      </w:r>
      <w:proofErr w:type="spellEnd"/>
      <w:r w:rsidRPr="00FE12FC">
        <w:rPr>
          <w:rFonts w:eastAsiaTheme="minorEastAsia"/>
          <w:b w:val="0"/>
          <w:i/>
          <w:lang w:val="en-US"/>
        </w:rPr>
        <w:t xml:space="preserve"> </w:t>
      </w:r>
      <w:proofErr w:type="spellStart"/>
      <w:r w:rsidRPr="00FE12FC">
        <w:rPr>
          <w:rFonts w:eastAsiaTheme="minorEastAsia"/>
          <w:b w:val="0"/>
          <w:i/>
          <w:lang w:val="en-US"/>
        </w:rPr>
        <w:t>prospettiva</w:t>
      </w:r>
      <w:proofErr w:type="spellEnd"/>
      <w:r w:rsidRPr="00FE12FC">
        <w:rPr>
          <w:rFonts w:eastAsiaTheme="minorEastAsia"/>
          <w:b w:val="0"/>
          <w:i/>
          <w:lang w:val="en-US"/>
        </w:rPr>
        <w:t xml:space="preserve"> </w:t>
      </w:r>
      <w:proofErr w:type="spellStart"/>
      <w:r w:rsidRPr="00FE12FC">
        <w:rPr>
          <w:rFonts w:eastAsiaTheme="minorEastAsia"/>
          <w:b w:val="0"/>
          <w:i/>
          <w:lang w:val="en-US"/>
        </w:rPr>
        <w:t>comparatistica</w:t>
      </w:r>
      <w:proofErr w:type="spellEnd"/>
      <w:r w:rsidRPr="00FE12FC">
        <w:rPr>
          <w:rFonts w:eastAsiaTheme="minorEastAsia"/>
          <w:b w:val="0"/>
          <w:i/>
          <w:lang w:val="en-US"/>
        </w:rPr>
        <w:t xml:space="preserve"> </w:t>
      </w:r>
      <w:proofErr w:type="spellStart"/>
      <w:proofErr w:type="gramStart"/>
      <w:r w:rsidRPr="00FE12FC">
        <w:rPr>
          <w:rFonts w:eastAsiaTheme="minorEastAsia"/>
          <w:b w:val="0"/>
          <w:i/>
          <w:lang w:val="en-US"/>
        </w:rPr>
        <w:t>ed</w:t>
      </w:r>
      <w:proofErr w:type="spellEnd"/>
      <w:proofErr w:type="gramEnd"/>
      <w:r w:rsidRPr="00FE12FC">
        <w:rPr>
          <w:rFonts w:eastAsiaTheme="minorEastAsia"/>
          <w:b w:val="0"/>
          <w:i/>
          <w:lang w:val="en-US"/>
        </w:rPr>
        <w:t xml:space="preserve"> </w:t>
      </w:r>
      <w:proofErr w:type="spellStart"/>
      <w:r w:rsidRPr="00FE12FC">
        <w:rPr>
          <w:rFonts w:eastAsiaTheme="minorEastAsia"/>
          <w:b w:val="0"/>
          <w:i/>
          <w:lang w:val="en-US"/>
        </w:rPr>
        <w:t>interdisciplinare</w:t>
      </w:r>
      <w:proofErr w:type="spellEnd"/>
      <w:r w:rsidR="00FE12FC">
        <w:rPr>
          <w:rFonts w:eastAsiaTheme="minorEastAsia"/>
          <w:b w:val="0"/>
          <w:i/>
          <w:lang w:val="en-US"/>
        </w:rPr>
        <w:t xml:space="preserve"> (</w:t>
      </w:r>
      <w:r w:rsidR="00FE12FC" w:rsidRPr="00FE12FC">
        <w:rPr>
          <w:b w:val="0"/>
          <w:i/>
          <w:sz w:val="22"/>
          <w:szCs w:val="22"/>
        </w:rPr>
        <w:t>The Reasons of the Others" - Mediation and Family Between Conflict and Dialogue</w:t>
      </w:r>
      <w:r w:rsidR="00FE12FC" w:rsidRPr="00FE12FC">
        <w:rPr>
          <w:b w:val="0"/>
          <w:sz w:val="22"/>
          <w:szCs w:val="22"/>
        </w:rPr>
        <w:t>)</w:t>
      </w:r>
      <w:r w:rsidRPr="00FE12FC">
        <w:rPr>
          <w:rFonts w:eastAsiaTheme="minorEastAsia"/>
          <w:b w:val="0"/>
          <w:lang w:val="en-US"/>
        </w:rPr>
        <w:t xml:space="preserve">, Firenze University Press, Turin, Italy, pp.167-178. [B1] </w:t>
      </w:r>
      <w:hyperlink r:id="rId8" w:history="1">
        <w:r w:rsidR="00541936" w:rsidRPr="00B85A77">
          <w:rPr>
            <w:rStyle w:val="Hyperlink"/>
            <w:rFonts w:asciiTheme="minorHAnsi" w:eastAsiaTheme="minorEastAsia" w:hAnsiTheme="minorHAnsi" w:cstheme="minorHAnsi"/>
            <w:b w:val="0"/>
            <w:szCs w:val="24"/>
            <w:lang w:val="en-US"/>
          </w:rPr>
          <w:t>http://dro.deakin.edu.au/view/DU:30059373</w:t>
        </w:r>
      </w:hyperlink>
    </w:p>
    <w:p w:rsidR="00541936" w:rsidRDefault="00541936" w:rsidP="00541936">
      <w:pPr>
        <w:keepLines/>
        <w:spacing w:before="40" w:after="120" w:line="280" w:lineRule="atLeast"/>
        <w:ind w:left="414" w:firstLine="720"/>
        <w:jc w:val="center"/>
        <w:rPr>
          <w:rFonts w:eastAsiaTheme="minorEastAsia" w:cstheme="minorHAnsi"/>
          <w:b/>
          <w:color w:val="C00000"/>
          <w:sz w:val="28"/>
          <w:szCs w:val="28"/>
          <w:u w:color="000000"/>
          <w:lang w:val="en-US"/>
        </w:rPr>
      </w:pPr>
      <w:r>
        <w:rPr>
          <w:rFonts w:eastAsiaTheme="minorEastAsia" w:cstheme="minorHAnsi"/>
          <w:b/>
          <w:color w:val="C00000"/>
          <w:sz w:val="28"/>
          <w:szCs w:val="28"/>
          <w:u w:color="000000"/>
          <w:lang w:val="en-US"/>
        </w:rPr>
        <w:t>CHANGES TO THE DEST POINT AMOUNTS FOR 2013 PUBLICATIONS</w:t>
      </w:r>
    </w:p>
    <w:p w:rsidR="00541936" w:rsidRPr="00541936" w:rsidRDefault="00541936" w:rsidP="00541936">
      <w:pPr>
        <w:keepLines/>
        <w:spacing w:before="40" w:after="120" w:line="280" w:lineRule="atLeast"/>
        <w:ind w:left="414" w:firstLine="720"/>
        <w:rPr>
          <w:rFonts w:eastAsiaTheme="minorEastAsia" w:cstheme="minorHAnsi"/>
          <w:color w:val="1F497D" w:themeColor="text2"/>
          <w:u w:color="000000"/>
          <w:lang w:val="en-US"/>
        </w:rPr>
      </w:pPr>
      <w:r>
        <w:rPr>
          <w:rFonts w:eastAsiaTheme="minorEastAsia" w:cstheme="minorHAnsi"/>
          <w:color w:val="1F497D" w:themeColor="text2"/>
          <w:u w:color="000000"/>
          <w:lang w:val="en-US"/>
        </w:rPr>
        <w:t>In 2014, e</w:t>
      </w:r>
      <w:r w:rsidRPr="00541936">
        <w:rPr>
          <w:rFonts w:eastAsiaTheme="minorEastAsia" w:cstheme="minorHAnsi"/>
          <w:color w:val="1F497D" w:themeColor="text2"/>
          <w:u w:color="000000"/>
          <w:lang w:val="en-US"/>
        </w:rPr>
        <w:t>ach DEST point will attract $</w:t>
      </w:r>
      <w:r>
        <w:rPr>
          <w:rFonts w:eastAsiaTheme="minorEastAsia" w:cstheme="minorHAnsi"/>
          <w:color w:val="1F497D" w:themeColor="text2"/>
          <w:u w:color="000000"/>
          <w:lang w:val="en-US"/>
        </w:rPr>
        <w:t>1500 ($700 more than in 2013</w:t>
      </w:r>
      <w:r w:rsidRPr="00541936">
        <w:rPr>
          <w:rFonts w:eastAsiaTheme="minorEastAsia" w:cstheme="minorHAnsi"/>
          <w:color w:val="1F497D" w:themeColor="text2"/>
          <w:u w:color="000000"/>
          <w:lang w:val="en-US"/>
        </w:rPr>
        <w:t>)</w:t>
      </w:r>
    </w:p>
    <w:p w:rsidR="00541936" w:rsidRPr="00541936" w:rsidRDefault="00541936" w:rsidP="00541936">
      <w:pPr>
        <w:keepLines/>
        <w:spacing w:before="40" w:after="120" w:line="280" w:lineRule="atLeast"/>
        <w:ind w:left="414" w:firstLine="720"/>
        <w:rPr>
          <w:rFonts w:eastAsiaTheme="minorEastAsia" w:cstheme="minorHAnsi"/>
          <w:color w:val="1F497D" w:themeColor="text2"/>
          <w:u w:color="000000"/>
          <w:lang w:val="en-US"/>
        </w:rPr>
      </w:pPr>
      <w:r w:rsidRPr="00541936">
        <w:rPr>
          <w:rFonts w:eastAsiaTheme="minorEastAsia" w:cstheme="minorHAnsi"/>
          <w:color w:val="1F497D" w:themeColor="text2"/>
          <w:u w:color="000000"/>
          <w:lang w:val="en-US"/>
        </w:rPr>
        <w:t>•</w:t>
      </w:r>
      <w:r w:rsidRPr="00541936">
        <w:rPr>
          <w:rFonts w:eastAsiaTheme="minorEastAsia" w:cstheme="minorHAnsi"/>
          <w:color w:val="1F497D" w:themeColor="text2"/>
          <w:u w:color="000000"/>
          <w:lang w:val="en-US"/>
        </w:rPr>
        <w:tab/>
        <w:t xml:space="preserve">Each HERDC article will attract </w:t>
      </w:r>
      <w:r w:rsidRPr="00541936">
        <w:rPr>
          <w:rFonts w:eastAsiaTheme="minorEastAsia" w:cstheme="minorHAnsi"/>
          <w:b/>
          <w:color w:val="1F497D" w:themeColor="text2"/>
          <w:u w:color="000000"/>
          <w:lang w:val="en-US"/>
        </w:rPr>
        <w:t>one</w:t>
      </w:r>
      <w:r w:rsidRPr="00541936">
        <w:rPr>
          <w:rFonts w:eastAsiaTheme="minorEastAsia" w:cstheme="minorHAnsi"/>
          <w:color w:val="1F497D" w:themeColor="text2"/>
          <w:u w:color="000000"/>
          <w:lang w:val="en-US"/>
        </w:rPr>
        <w:t xml:space="preserve"> DEST point ($</w:t>
      </w:r>
      <w:r>
        <w:rPr>
          <w:rFonts w:eastAsiaTheme="minorEastAsia" w:cstheme="minorHAnsi"/>
          <w:color w:val="1F497D" w:themeColor="text2"/>
          <w:u w:color="000000"/>
          <w:lang w:val="en-US"/>
        </w:rPr>
        <w:t>1500</w:t>
      </w:r>
      <w:r w:rsidRPr="00541936">
        <w:rPr>
          <w:rFonts w:eastAsiaTheme="minorEastAsia" w:cstheme="minorHAnsi"/>
          <w:color w:val="1F497D" w:themeColor="text2"/>
          <w:u w:color="000000"/>
          <w:lang w:val="en-US"/>
        </w:rPr>
        <w:t>)</w:t>
      </w:r>
    </w:p>
    <w:p w:rsidR="00541936" w:rsidRPr="00541936" w:rsidRDefault="00541936" w:rsidP="00541936">
      <w:pPr>
        <w:keepLines/>
        <w:spacing w:before="40" w:after="120" w:line="280" w:lineRule="atLeast"/>
        <w:ind w:left="414" w:firstLine="720"/>
        <w:rPr>
          <w:rFonts w:eastAsiaTheme="minorEastAsia" w:cstheme="minorHAnsi"/>
          <w:color w:val="1F497D" w:themeColor="text2"/>
          <w:u w:color="000000"/>
          <w:lang w:val="en-US"/>
        </w:rPr>
      </w:pPr>
      <w:r w:rsidRPr="00541936">
        <w:rPr>
          <w:rFonts w:eastAsiaTheme="minorEastAsia" w:cstheme="minorHAnsi"/>
          <w:color w:val="1F497D" w:themeColor="text2"/>
          <w:u w:color="000000"/>
          <w:lang w:val="en-US"/>
        </w:rPr>
        <w:t>•</w:t>
      </w:r>
      <w:r w:rsidRPr="00541936">
        <w:rPr>
          <w:rFonts w:eastAsiaTheme="minorEastAsia" w:cstheme="minorHAnsi"/>
          <w:color w:val="1F497D" w:themeColor="text2"/>
          <w:u w:color="000000"/>
          <w:lang w:val="en-US"/>
        </w:rPr>
        <w:tab/>
        <w:t xml:space="preserve">Each HERDC book will attract </w:t>
      </w:r>
      <w:r w:rsidRPr="00541936">
        <w:rPr>
          <w:rFonts w:eastAsiaTheme="minorEastAsia" w:cstheme="minorHAnsi"/>
          <w:b/>
          <w:color w:val="1F497D" w:themeColor="text2"/>
          <w:u w:color="000000"/>
          <w:lang w:val="en-US"/>
        </w:rPr>
        <w:t xml:space="preserve">five </w:t>
      </w:r>
      <w:r w:rsidRPr="00541936">
        <w:rPr>
          <w:rFonts w:eastAsiaTheme="minorEastAsia" w:cstheme="minorHAnsi"/>
          <w:color w:val="1F497D" w:themeColor="text2"/>
          <w:u w:color="000000"/>
          <w:lang w:val="en-US"/>
        </w:rPr>
        <w:t>DEST points ($</w:t>
      </w:r>
      <w:r>
        <w:rPr>
          <w:rFonts w:eastAsiaTheme="minorEastAsia" w:cstheme="minorHAnsi"/>
          <w:color w:val="1F497D" w:themeColor="text2"/>
          <w:u w:color="000000"/>
          <w:lang w:val="en-US"/>
        </w:rPr>
        <w:t>75</w:t>
      </w:r>
      <w:r w:rsidRPr="00541936">
        <w:rPr>
          <w:rFonts w:eastAsiaTheme="minorEastAsia" w:cstheme="minorHAnsi"/>
          <w:color w:val="1F497D" w:themeColor="text2"/>
          <w:u w:color="000000"/>
          <w:lang w:val="en-US"/>
        </w:rPr>
        <w:t>00)</w:t>
      </w:r>
    </w:p>
    <w:p w:rsidR="00541936" w:rsidRPr="00541936" w:rsidRDefault="00541936" w:rsidP="00541936">
      <w:pPr>
        <w:keepLines/>
        <w:spacing w:before="40" w:after="120" w:line="280" w:lineRule="atLeast"/>
        <w:ind w:left="414" w:firstLine="720"/>
        <w:rPr>
          <w:rFonts w:eastAsiaTheme="minorEastAsia" w:cstheme="minorHAnsi"/>
          <w:color w:val="1F497D" w:themeColor="text2"/>
          <w:u w:color="000000"/>
          <w:lang w:val="en-US"/>
        </w:rPr>
      </w:pPr>
      <w:r w:rsidRPr="00541936">
        <w:rPr>
          <w:rFonts w:eastAsiaTheme="minorEastAsia" w:cstheme="minorHAnsi"/>
          <w:color w:val="1F497D" w:themeColor="text2"/>
          <w:u w:color="000000"/>
          <w:lang w:val="en-US"/>
        </w:rPr>
        <w:t>•</w:t>
      </w:r>
      <w:r w:rsidRPr="00541936">
        <w:rPr>
          <w:rFonts w:eastAsiaTheme="minorEastAsia" w:cstheme="minorHAnsi"/>
          <w:color w:val="1F497D" w:themeColor="text2"/>
          <w:u w:color="000000"/>
          <w:lang w:val="en-US"/>
        </w:rPr>
        <w:tab/>
        <w:t xml:space="preserve">Each revised edition of HERDC book will attract </w:t>
      </w:r>
      <w:r w:rsidRPr="00541936">
        <w:rPr>
          <w:rFonts w:eastAsiaTheme="minorEastAsia" w:cstheme="minorHAnsi"/>
          <w:b/>
          <w:color w:val="1F497D" w:themeColor="text2"/>
          <w:u w:color="000000"/>
          <w:lang w:val="en-US"/>
        </w:rPr>
        <w:t>two</w:t>
      </w:r>
      <w:r w:rsidRPr="00541936">
        <w:rPr>
          <w:rFonts w:eastAsiaTheme="minorEastAsia" w:cstheme="minorHAnsi"/>
          <w:color w:val="1F497D" w:themeColor="text2"/>
          <w:u w:color="000000"/>
          <w:lang w:val="en-US"/>
        </w:rPr>
        <w:t xml:space="preserve"> DEST points ($</w:t>
      </w:r>
      <w:r>
        <w:rPr>
          <w:rFonts w:eastAsiaTheme="minorEastAsia" w:cstheme="minorHAnsi"/>
          <w:color w:val="1F497D" w:themeColor="text2"/>
          <w:u w:color="000000"/>
          <w:lang w:val="en-US"/>
        </w:rPr>
        <w:t>3000</w:t>
      </w:r>
      <w:r w:rsidRPr="00541936">
        <w:rPr>
          <w:rFonts w:eastAsiaTheme="minorEastAsia" w:cstheme="minorHAnsi"/>
          <w:color w:val="1F497D" w:themeColor="text2"/>
          <w:u w:color="000000"/>
          <w:lang w:val="en-US"/>
        </w:rPr>
        <w:t>)</w:t>
      </w:r>
    </w:p>
    <w:p w:rsidR="00541936" w:rsidRPr="00541936" w:rsidRDefault="00541936" w:rsidP="00541936">
      <w:pPr>
        <w:keepLines/>
        <w:spacing w:before="40" w:after="120" w:line="280" w:lineRule="atLeast"/>
        <w:ind w:left="414" w:firstLine="720"/>
        <w:rPr>
          <w:rFonts w:eastAsiaTheme="minorEastAsia" w:cstheme="minorHAnsi"/>
          <w:color w:val="1F497D" w:themeColor="text2"/>
          <w:u w:color="000000"/>
          <w:lang w:val="en-US"/>
        </w:rPr>
      </w:pPr>
      <w:r w:rsidRPr="00541936">
        <w:rPr>
          <w:rFonts w:eastAsiaTheme="minorEastAsia" w:cstheme="minorHAnsi"/>
          <w:color w:val="1F497D" w:themeColor="text2"/>
          <w:u w:color="000000"/>
          <w:lang w:val="en-US"/>
        </w:rPr>
        <w:t>•</w:t>
      </w:r>
      <w:r w:rsidRPr="00541936">
        <w:rPr>
          <w:rFonts w:eastAsiaTheme="minorEastAsia" w:cstheme="minorHAnsi"/>
          <w:color w:val="1F497D" w:themeColor="text2"/>
          <w:u w:color="000000"/>
          <w:lang w:val="en-US"/>
        </w:rPr>
        <w:tab/>
        <w:t xml:space="preserve">Co-authored works will attract </w:t>
      </w:r>
      <w:r w:rsidRPr="00541936">
        <w:rPr>
          <w:rFonts w:eastAsiaTheme="minorEastAsia" w:cstheme="minorHAnsi"/>
          <w:b/>
          <w:color w:val="1F497D" w:themeColor="text2"/>
          <w:u w:color="000000"/>
          <w:lang w:val="en-US"/>
        </w:rPr>
        <w:t>pro-rata</w:t>
      </w:r>
      <w:r w:rsidRPr="00541936">
        <w:rPr>
          <w:rFonts w:eastAsiaTheme="minorEastAsia" w:cstheme="minorHAnsi"/>
          <w:color w:val="1F497D" w:themeColor="text2"/>
          <w:u w:color="000000"/>
          <w:lang w:val="en-US"/>
        </w:rPr>
        <w:t xml:space="preserve"> DEST points: 1/2; 1/3, etc of the relevant category of publication</w:t>
      </w:r>
    </w:p>
    <w:p w:rsidR="00541936" w:rsidRPr="00541936" w:rsidRDefault="00541936" w:rsidP="00541936">
      <w:pPr>
        <w:keepLines/>
        <w:spacing w:before="40" w:after="120" w:line="280" w:lineRule="atLeast"/>
        <w:ind w:left="414" w:firstLine="720"/>
        <w:rPr>
          <w:rFonts w:eastAsiaTheme="minorEastAsia" w:cstheme="minorHAnsi"/>
          <w:color w:val="1F497D" w:themeColor="text2"/>
          <w:u w:color="000000"/>
          <w:lang w:val="en-US"/>
        </w:rPr>
      </w:pPr>
      <w:r w:rsidRPr="00541936">
        <w:rPr>
          <w:rFonts w:eastAsiaTheme="minorEastAsia" w:cstheme="minorHAnsi"/>
          <w:color w:val="1F497D" w:themeColor="text2"/>
          <w:u w:color="000000"/>
          <w:lang w:val="en-US"/>
        </w:rPr>
        <w:lastRenderedPageBreak/>
        <w:t>Federal Government does not fund non-HERDC publications. Consequently, as a general rule, non-HERDC items posted on the DRO with the permission of the Head of School are un-funded and do not attract DEST points (HERDC classifications are Federal Government’s policy).</w:t>
      </w:r>
    </w:p>
    <w:p w:rsidR="00541936" w:rsidRDefault="00541936" w:rsidP="00541936">
      <w:pPr>
        <w:keepLines/>
        <w:spacing w:before="40" w:after="120" w:line="280" w:lineRule="atLeast"/>
        <w:ind w:left="414" w:firstLine="720"/>
        <w:rPr>
          <w:rFonts w:eastAsiaTheme="minorEastAsia" w:cstheme="minorHAnsi"/>
          <w:color w:val="1F497D" w:themeColor="text2"/>
          <w:u w:color="000000"/>
          <w:lang w:val="en-US"/>
        </w:rPr>
      </w:pPr>
      <w:r w:rsidRPr="00541936">
        <w:rPr>
          <w:rFonts w:eastAsiaTheme="minorEastAsia" w:cstheme="minorHAnsi"/>
          <w:color w:val="1F497D" w:themeColor="text2"/>
          <w:u w:color="000000"/>
          <w:lang w:val="en-US"/>
        </w:rPr>
        <w:t>NOTE: DEST point funds can be used to attend a conference irrespective of whether you will present a paper. They can be used for research assistance, and, with approval of the Head of School, for books.</w:t>
      </w:r>
    </w:p>
    <w:p w:rsidR="00A916AB" w:rsidRDefault="00A916AB" w:rsidP="00541936">
      <w:pPr>
        <w:keepLines/>
        <w:spacing w:before="40" w:after="120" w:line="280" w:lineRule="atLeast"/>
        <w:ind w:left="414" w:firstLine="720"/>
        <w:rPr>
          <w:rFonts w:eastAsiaTheme="minorEastAsia" w:cstheme="minorHAnsi"/>
          <w:color w:val="1F497D" w:themeColor="text2"/>
          <w:u w:color="000000"/>
          <w:lang w:val="en-US"/>
        </w:rPr>
      </w:pPr>
      <w:r>
        <w:rPr>
          <w:rFonts w:eastAsiaTheme="minorEastAsia" w:cstheme="minorHAnsi"/>
          <w:color w:val="1F497D" w:themeColor="text2"/>
          <w:u w:color="000000"/>
          <w:lang w:val="en-US"/>
        </w:rPr>
        <w:t>Please note that the amended Research Funding P</w:t>
      </w:r>
      <w:r w:rsidRPr="00A916AB">
        <w:rPr>
          <w:rFonts w:eastAsiaTheme="minorEastAsia" w:cstheme="minorHAnsi"/>
          <w:color w:val="1F497D" w:themeColor="text2"/>
          <w:u w:color="000000"/>
          <w:lang w:val="en-US"/>
        </w:rPr>
        <w:t xml:space="preserve">olicy will be published in </w:t>
      </w:r>
      <w:r>
        <w:rPr>
          <w:rFonts w:eastAsiaTheme="minorEastAsia" w:cstheme="minorHAnsi"/>
          <w:color w:val="1F497D" w:themeColor="text2"/>
          <w:u w:color="000000"/>
          <w:lang w:val="en-US"/>
        </w:rPr>
        <w:t xml:space="preserve">the </w:t>
      </w:r>
      <w:r w:rsidRPr="00A916AB">
        <w:rPr>
          <w:rFonts w:eastAsiaTheme="minorEastAsia" w:cstheme="minorHAnsi"/>
          <w:i/>
          <w:color w:val="1F497D" w:themeColor="text2"/>
          <w:u w:color="000000"/>
          <w:lang w:val="en-US"/>
        </w:rPr>
        <w:t>Research Report</w:t>
      </w:r>
      <w:r w:rsidRPr="00A916AB">
        <w:rPr>
          <w:rFonts w:eastAsiaTheme="minorEastAsia" w:cstheme="minorHAnsi"/>
          <w:color w:val="1F497D" w:themeColor="text2"/>
          <w:u w:color="000000"/>
          <w:lang w:val="en-US"/>
        </w:rPr>
        <w:t xml:space="preserve"> No 2</w:t>
      </w:r>
      <w:r>
        <w:rPr>
          <w:rFonts w:eastAsiaTheme="minorEastAsia" w:cstheme="minorHAnsi"/>
          <w:color w:val="1F497D" w:themeColor="text2"/>
          <w:u w:color="000000"/>
          <w:lang w:val="en-US"/>
        </w:rPr>
        <w:t>, 2014</w:t>
      </w:r>
      <w:r w:rsidRPr="00A916AB">
        <w:rPr>
          <w:rFonts w:eastAsiaTheme="minorEastAsia" w:cstheme="minorHAnsi"/>
          <w:color w:val="1F497D" w:themeColor="text2"/>
          <w:u w:color="000000"/>
          <w:lang w:val="en-US"/>
        </w:rPr>
        <w:t>.</w:t>
      </w:r>
    </w:p>
    <w:p w:rsidR="00A916AB" w:rsidRPr="00541936" w:rsidRDefault="00A916AB" w:rsidP="00541936">
      <w:pPr>
        <w:keepLines/>
        <w:spacing w:before="40" w:after="120" w:line="280" w:lineRule="atLeast"/>
        <w:ind w:left="414" w:firstLine="720"/>
        <w:rPr>
          <w:rFonts w:eastAsiaTheme="minorEastAsia" w:cstheme="minorHAnsi"/>
          <w:color w:val="1F497D" w:themeColor="text2"/>
          <w:u w:color="000000"/>
          <w:lang w:val="en-US"/>
        </w:rPr>
      </w:pPr>
    </w:p>
    <w:p w:rsidR="00A916AB" w:rsidRDefault="00A916AB" w:rsidP="00A916AB">
      <w:pPr>
        <w:keepLines/>
        <w:spacing w:before="40" w:after="120" w:line="280" w:lineRule="atLeast"/>
        <w:ind w:left="414" w:firstLine="720"/>
        <w:jc w:val="center"/>
        <w:rPr>
          <w:rFonts w:eastAsiaTheme="minorEastAsia" w:cstheme="minorHAnsi"/>
          <w:b/>
          <w:color w:val="C00000"/>
          <w:sz w:val="28"/>
          <w:szCs w:val="28"/>
          <w:u w:color="000000"/>
          <w:lang w:val="en-US"/>
        </w:rPr>
      </w:pPr>
      <w:r>
        <w:rPr>
          <w:rFonts w:eastAsiaTheme="minorEastAsia" w:cstheme="minorHAnsi"/>
          <w:b/>
          <w:color w:val="C00000"/>
          <w:sz w:val="28"/>
          <w:szCs w:val="28"/>
          <w:u w:color="000000"/>
          <w:lang w:val="en-US"/>
        </w:rPr>
        <w:t xml:space="preserve">DEAKIN LAW SCHOOL </w:t>
      </w:r>
      <w:r w:rsidR="008A5A2F">
        <w:rPr>
          <w:rFonts w:eastAsiaTheme="minorEastAsia" w:cstheme="minorHAnsi"/>
          <w:b/>
          <w:color w:val="C00000"/>
          <w:sz w:val="28"/>
          <w:szCs w:val="28"/>
          <w:u w:color="000000"/>
          <w:lang w:val="en-US"/>
        </w:rPr>
        <w:t xml:space="preserve">RESEARCH </w:t>
      </w:r>
      <w:r>
        <w:rPr>
          <w:rFonts w:eastAsiaTheme="minorEastAsia" w:cstheme="minorHAnsi"/>
          <w:b/>
          <w:color w:val="C00000"/>
          <w:sz w:val="28"/>
          <w:szCs w:val="28"/>
          <w:u w:color="000000"/>
          <w:lang w:val="en-US"/>
        </w:rPr>
        <w:t>SEMINARS</w:t>
      </w:r>
    </w:p>
    <w:p w:rsidR="008A5A2F" w:rsidRPr="008A5A2F" w:rsidRDefault="008A5A2F" w:rsidP="008A5A2F">
      <w:pPr>
        <w:pStyle w:val="BodyText"/>
        <w:jc w:val="center"/>
        <w:rPr>
          <w:b/>
          <w:color w:val="7030A0"/>
          <w:sz w:val="32"/>
          <w:szCs w:val="32"/>
          <w:lang w:val="en-US"/>
        </w:rPr>
      </w:pPr>
      <w:r w:rsidRPr="008A5A2F">
        <w:rPr>
          <w:b/>
          <w:color w:val="7030A0"/>
          <w:sz w:val="32"/>
          <w:szCs w:val="32"/>
          <w:lang w:val="en-US"/>
        </w:rPr>
        <w:t>Please let me know if you would like to present a research seminar</w:t>
      </w:r>
      <w:r>
        <w:rPr>
          <w:b/>
          <w:color w:val="7030A0"/>
          <w:sz w:val="32"/>
          <w:szCs w:val="32"/>
          <w:lang w:val="en-US"/>
        </w:rPr>
        <w:t xml:space="preserve">: </w:t>
      </w:r>
      <w:r w:rsidRPr="008A5A2F">
        <w:rPr>
          <w:b/>
          <w:color w:val="7030A0"/>
          <w:sz w:val="32"/>
          <w:szCs w:val="32"/>
          <w:lang w:val="en-US"/>
        </w:rPr>
        <w:t>topic and date</w:t>
      </w:r>
    </w:p>
    <w:p w:rsidR="008A5A2F" w:rsidRPr="008A5A2F" w:rsidRDefault="008A5A2F" w:rsidP="008A5A2F">
      <w:pPr>
        <w:pStyle w:val="BodyText"/>
        <w:jc w:val="center"/>
        <w:rPr>
          <w:color w:val="7030A0"/>
          <w:sz w:val="24"/>
          <w:szCs w:val="24"/>
          <w:lang w:val="en-US"/>
        </w:rPr>
      </w:pPr>
      <w:r w:rsidRPr="008A5A2F">
        <w:rPr>
          <w:color w:val="7030A0"/>
          <w:sz w:val="24"/>
          <w:szCs w:val="24"/>
          <w:lang w:val="en-US"/>
        </w:rPr>
        <w:t xml:space="preserve">We may revert to holding </w:t>
      </w:r>
      <w:r>
        <w:rPr>
          <w:color w:val="7030A0"/>
          <w:sz w:val="24"/>
          <w:szCs w:val="24"/>
          <w:lang w:val="en-US"/>
        </w:rPr>
        <w:t>R</w:t>
      </w:r>
      <w:r w:rsidRPr="008A5A2F">
        <w:rPr>
          <w:color w:val="7030A0"/>
          <w:sz w:val="24"/>
          <w:szCs w:val="24"/>
          <w:lang w:val="en-US"/>
        </w:rPr>
        <w:t xml:space="preserve">esearch </w:t>
      </w:r>
      <w:r>
        <w:rPr>
          <w:color w:val="7030A0"/>
          <w:sz w:val="24"/>
          <w:szCs w:val="24"/>
          <w:lang w:val="en-US"/>
        </w:rPr>
        <w:t>S</w:t>
      </w:r>
      <w:r w:rsidRPr="008A5A2F">
        <w:rPr>
          <w:color w:val="7030A0"/>
          <w:sz w:val="24"/>
          <w:szCs w:val="24"/>
          <w:lang w:val="en-US"/>
        </w:rPr>
        <w:t>eminars at noon, unless they clash with the School Management Committee meetings</w:t>
      </w:r>
    </w:p>
    <w:p w:rsidR="00A916AB" w:rsidRDefault="00A916AB" w:rsidP="00A916AB">
      <w:pPr>
        <w:pStyle w:val="BodyText"/>
        <w:rPr>
          <w:b/>
          <w:color w:val="7030A0"/>
          <w:lang w:val="en-US"/>
        </w:rPr>
      </w:pPr>
      <w:r>
        <w:rPr>
          <w:b/>
          <w:color w:val="7030A0"/>
          <w:lang w:val="en-US"/>
        </w:rPr>
        <w:t>FRIDAY, 7 FEBRUARY 2014</w:t>
      </w:r>
    </w:p>
    <w:p w:rsidR="00A916AB" w:rsidRPr="008A5A2F" w:rsidRDefault="00A916AB" w:rsidP="00A916AB">
      <w:pPr>
        <w:pStyle w:val="BodyText"/>
        <w:rPr>
          <w:color w:val="C00000"/>
          <w:lang w:val="en-US"/>
        </w:rPr>
      </w:pPr>
      <w:r w:rsidRPr="008A5A2F">
        <w:rPr>
          <w:color w:val="C00000"/>
          <w:lang w:val="en-US"/>
        </w:rPr>
        <w:t>Vivek Chandra</w:t>
      </w:r>
    </w:p>
    <w:p w:rsidR="00A916AB" w:rsidRPr="008A5A2F" w:rsidRDefault="008A5A2F" w:rsidP="00A916AB">
      <w:pPr>
        <w:pStyle w:val="BodyText"/>
        <w:rPr>
          <w:color w:val="1F497D" w:themeColor="text2"/>
          <w:lang w:val="en-US"/>
        </w:rPr>
      </w:pPr>
      <w:r w:rsidRPr="008A5A2F">
        <w:rPr>
          <w:color w:val="1F497D" w:themeColor="text2"/>
          <w:lang w:val="en-US"/>
        </w:rPr>
        <w:t>On Liquefied Natural Gas</w:t>
      </w:r>
    </w:p>
    <w:p w:rsidR="008A5A2F" w:rsidRDefault="008A5A2F" w:rsidP="008A5A2F">
      <w:pPr>
        <w:pStyle w:val="BodyText"/>
        <w:rPr>
          <w:b/>
          <w:color w:val="7030A0"/>
          <w:lang w:val="en-US"/>
        </w:rPr>
      </w:pPr>
    </w:p>
    <w:p w:rsidR="008A5A2F" w:rsidRDefault="008A5A2F" w:rsidP="008A5A2F">
      <w:pPr>
        <w:pStyle w:val="BodyText"/>
        <w:rPr>
          <w:b/>
          <w:color w:val="7030A0"/>
          <w:lang w:val="en-US"/>
        </w:rPr>
      </w:pPr>
      <w:r>
        <w:rPr>
          <w:b/>
          <w:color w:val="7030A0"/>
          <w:lang w:val="en-US"/>
        </w:rPr>
        <w:t>FRIDAY, 14 FEBRUARY 2014</w:t>
      </w:r>
    </w:p>
    <w:p w:rsidR="008A5A2F" w:rsidRDefault="008A5A2F" w:rsidP="00A916AB">
      <w:pPr>
        <w:pStyle w:val="BodyText"/>
        <w:rPr>
          <w:color w:val="1F497D" w:themeColor="text2"/>
          <w:lang w:val="en-US"/>
        </w:rPr>
      </w:pPr>
      <w:r w:rsidRPr="008A5A2F">
        <w:rPr>
          <w:color w:val="1F497D" w:themeColor="text2"/>
          <w:lang w:val="en-US"/>
        </w:rPr>
        <w:t>How to distinguish between good and dodgy/predatory publishers of journals and books</w:t>
      </w:r>
    </w:p>
    <w:p w:rsidR="008A5A2F" w:rsidRPr="008A5A2F" w:rsidRDefault="008A5A2F" w:rsidP="00A916AB">
      <w:pPr>
        <w:pStyle w:val="BodyText"/>
        <w:rPr>
          <w:color w:val="1F497D" w:themeColor="text2"/>
          <w:lang w:val="en-US"/>
        </w:rPr>
      </w:pPr>
    </w:p>
    <w:p w:rsidR="00A916AB" w:rsidRPr="00A916AB" w:rsidRDefault="00A916AB" w:rsidP="00A916AB">
      <w:pPr>
        <w:pStyle w:val="BodyText"/>
        <w:rPr>
          <w:b/>
          <w:color w:val="7030A0"/>
          <w:lang w:val="en-US"/>
        </w:rPr>
      </w:pPr>
      <w:r w:rsidRPr="00A916AB">
        <w:rPr>
          <w:b/>
          <w:color w:val="7030A0"/>
          <w:lang w:val="en-US"/>
        </w:rPr>
        <w:t>FRIDAY, 2 MAY 2014</w:t>
      </w:r>
    </w:p>
    <w:p w:rsidR="00A916AB" w:rsidRPr="008A5A2F" w:rsidRDefault="00A916AB" w:rsidP="00A916AB">
      <w:pPr>
        <w:pStyle w:val="BodyText"/>
        <w:rPr>
          <w:color w:val="C00000"/>
          <w:lang w:val="en-US"/>
        </w:rPr>
      </w:pPr>
      <w:r w:rsidRPr="008A5A2F">
        <w:rPr>
          <w:color w:val="C00000"/>
          <w:lang w:val="en-US"/>
        </w:rPr>
        <w:t xml:space="preserve">T. Leigh </w:t>
      </w:r>
      <w:proofErr w:type="spellStart"/>
      <w:r w:rsidRPr="008A5A2F">
        <w:rPr>
          <w:color w:val="C00000"/>
          <w:lang w:val="en-US"/>
        </w:rPr>
        <w:t>Anenson</w:t>
      </w:r>
      <w:proofErr w:type="spellEnd"/>
      <w:r w:rsidRPr="008A5A2F">
        <w:rPr>
          <w:color w:val="C00000"/>
          <w:lang w:val="en-US"/>
        </w:rPr>
        <w:t>, J.D., LL.M.</w:t>
      </w:r>
    </w:p>
    <w:p w:rsidR="00A916AB" w:rsidRPr="00A916AB" w:rsidRDefault="00A916AB" w:rsidP="00A916AB">
      <w:pPr>
        <w:pStyle w:val="BodyText"/>
        <w:rPr>
          <w:color w:val="1F497D" w:themeColor="text2"/>
          <w:lang w:val="en-US"/>
        </w:rPr>
      </w:pPr>
      <w:r w:rsidRPr="00A916AB">
        <w:rPr>
          <w:color w:val="1F497D" w:themeColor="text2"/>
          <w:lang w:val="en-US"/>
        </w:rPr>
        <w:t>Associate Professor of Business Law</w:t>
      </w:r>
    </w:p>
    <w:p w:rsidR="00A916AB" w:rsidRPr="00A916AB" w:rsidRDefault="00A916AB" w:rsidP="00A916AB">
      <w:pPr>
        <w:pStyle w:val="BodyText"/>
        <w:rPr>
          <w:color w:val="1F497D" w:themeColor="text2"/>
          <w:lang w:val="en-US"/>
        </w:rPr>
      </w:pPr>
      <w:r w:rsidRPr="00A916AB">
        <w:rPr>
          <w:color w:val="1F497D" w:themeColor="text2"/>
          <w:lang w:val="en-US"/>
        </w:rPr>
        <w:t>Department of Logistics, Business and Public Policy</w:t>
      </w:r>
    </w:p>
    <w:p w:rsidR="00A916AB" w:rsidRPr="00A916AB" w:rsidRDefault="00A916AB" w:rsidP="00A916AB">
      <w:pPr>
        <w:pStyle w:val="BodyText"/>
        <w:rPr>
          <w:color w:val="1F497D" w:themeColor="text2"/>
          <w:lang w:val="en-US"/>
        </w:rPr>
      </w:pPr>
      <w:r w:rsidRPr="00A916AB">
        <w:rPr>
          <w:color w:val="1F497D" w:themeColor="text2"/>
          <w:lang w:val="en-US"/>
        </w:rPr>
        <w:t>Robert H. Smith School of Business</w:t>
      </w:r>
    </w:p>
    <w:p w:rsidR="00541936" w:rsidRDefault="00A916AB" w:rsidP="00A916AB">
      <w:pPr>
        <w:pStyle w:val="BodyText"/>
        <w:rPr>
          <w:color w:val="1F497D" w:themeColor="text2"/>
          <w:lang w:val="en-US"/>
        </w:rPr>
      </w:pPr>
      <w:r w:rsidRPr="00A916AB">
        <w:rPr>
          <w:color w:val="1F497D" w:themeColor="text2"/>
          <w:lang w:val="en-US"/>
        </w:rPr>
        <w:t>University of Maryland</w:t>
      </w:r>
    </w:p>
    <w:p w:rsidR="00984054" w:rsidRDefault="00984054" w:rsidP="008A5A2F">
      <w:pPr>
        <w:keepLines/>
        <w:spacing w:before="40" w:after="120" w:line="280" w:lineRule="atLeast"/>
        <w:ind w:left="414" w:firstLine="720"/>
        <w:jc w:val="center"/>
        <w:rPr>
          <w:rFonts w:eastAsiaTheme="minorEastAsia" w:cstheme="minorHAnsi"/>
          <w:b/>
          <w:color w:val="C00000"/>
          <w:sz w:val="28"/>
          <w:szCs w:val="28"/>
          <w:u w:color="000000"/>
          <w:lang w:val="en-US"/>
        </w:rPr>
      </w:pPr>
    </w:p>
    <w:p w:rsidR="008A5A2F" w:rsidRDefault="008A5A2F" w:rsidP="008A5A2F">
      <w:pPr>
        <w:keepLines/>
        <w:spacing w:before="40" w:after="120" w:line="280" w:lineRule="atLeast"/>
        <w:ind w:left="414" w:firstLine="720"/>
        <w:jc w:val="center"/>
        <w:rPr>
          <w:rFonts w:eastAsiaTheme="minorEastAsia" w:cstheme="minorHAnsi"/>
          <w:b/>
          <w:color w:val="C00000"/>
          <w:sz w:val="28"/>
          <w:szCs w:val="28"/>
          <w:u w:color="000000"/>
          <w:lang w:val="en-US"/>
        </w:rPr>
      </w:pPr>
      <w:r>
        <w:rPr>
          <w:rFonts w:eastAsiaTheme="minorEastAsia" w:cstheme="minorHAnsi"/>
          <w:b/>
          <w:color w:val="C00000"/>
          <w:sz w:val="28"/>
          <w:szCs w:val="28"/>
          <w:u w:color="000000"/>
          <w:lang w:val="en-US"/>
        </w:rPr>
        <w:t>TORTS, JURISPRUDENCE, ECONOMICS, ETC RESEARCH HUB</w:t>
      </w:r>
    </w:p>
    <w:p w:rsidR="00984054" w:rsidRPr="00984054" w:rsidRDefault="00984054" w:rsidP="00984054">
      <w:pPr>
        <w:pStyle w:val="BodyText"/>
        <w:rPr>
          <w:b/>
          <w:color w:val="1F497D" w:themeColor="text2"/>
          <w:lang w:val="en-US"/>
        </w:rPr>
      </w:pPr>
      <w:r w:rsidRPr="00984054">
        <w:rPr>
          <w:b/>
          <w:color w:val="1F497D" w:themeColor="text2"/>
          <w:lang w:val="en-US"/>
        </w:rPr>
        <w:t>WEDNESDAY, 5 FEBRUARY 2014 AT 5pm</w:t>
      </w:r>
      <w:r>
        <w:rPr>
          <w:b/>
          <w:color w:val="1F497D" w:themeColor="text2"/>
          <w:lang w:val="en-US"/>
        </w:rPr>
        <w:t xml:space="preserve"> </w:t>
      </w:r>
    </w:p>
    <w:p w:rsidR="00984054" w:rsidRPr="00984054" w:rsidRDefault="00984054" w:rsidP="00984054">
      <w:pPr>
        <w:pStyle w:val="BodyText"/>
        <w:rPr>
          <w:color w:val="1F497D" w:themeColor="text2"/>
          <w:lang w:val="en-US"/>
        </w:rPr>
      </w:pPr>
      <w:r w:rsidRPr="00984054">
        <w:rPr>
          <w:b/>
          <w:color w:val="C00000"/>
          <w:lang w:val="en-US"/>
        </w:rPr>
        <w:t>Carol Newlands</w:t>
      </w:r>
      <w:r>
        <w:rPr>
          <w:b/>
          <w:color w:val="C00000"/>
          <w:lang w:val="en-US"/>
        </w:rPr>
        <w:t xml:space="preserve">: </w:t>
      </w:r>
      <w:r w:rsidRPr="00984054">
        <w:rPr>
          <w:color w:val="1F497D" w:themeColor="text2"/>
          <w:lang w:val="en-US"/>
        </w:rPr>
        <w:t>The Role of Medical Panels in Victoria: workloads and statistics</w:t>
      </w:r>
      <w:r>
        <w:rPr>
          <w:color w:val="1F497D" w:themeColor="text2"/>
          <w:lang w:val="en-US"/>
        </w:rPr>
        <w:t xml:space="preserve"> </w:t>
      </w:r>
      <w:r w:rsidRPr="00984054">
        <w:rPr>
          <w:color w:val="1F497D" w:themeColor="text2"/>
          <w:lang w:val="en-US"/>
        </w:rPr>
        <w:t>(Medical Panels’ workloads reflect personal injury claims)</w:t>
      </w:r>
    </w:p>
    <w:p w:rsidR="00984054" w:rsidRPr="00984054" w:rsidRDefault="00984054" w:rsidP="00984054">
      <w:pPr>
        <w:pStyle w:val="BodyText"/>
        <w:jc w:val="center"/>
        <w:rPr>
          <w:color w:val="1F497D" w:themeColor="text2"/>
          <w:lang w:val="en-US"/>
        </w:rPr>
      </w:pPr>
      <w:r w:rsidRPr="00984054">
        <w:rPr>
          <w:color w:val="1F497D" w:themeColor="text2"/>
          <w:lang w:val="en-US"/>
        </w:rPr>
        <w:lastRenderedPageBreak/>
        <w:t>Abstract</w:t>
      </w:r>
    </w:p>
    <w:p w:rsidR="00984054" w:rsidRPr="00984054" w:rsidRDefault="00984054" w:rsidP="00984054">
      <w:pPr>
        <w:pStyle w:val="BodyText"/>
        <w:rPr>
          <w:color w:val="1F497D" w:themeColor="text2"/>
          <w:lang w:val="en-US"/>
        </w:rPr>
      </w:pPr>
      <w:r w:rsidRPr="00984054">
        <w:rPr>
          <w:color w:val="1F497D" w:themeColor="text2"/>
          <w:lang w:val="en-US"/>
        </w:rPr>
        <w:t xml:space="preserve">The Medical panels were first introduced in Victoria in 1990 as part of the amendments to the Accident Compensation Act 1985. Initially the role was advisory, but over the intervening years it has undergone significant changes due to changes in legislation and judicial review. </w:t>
      </w:r>
    </w:p>
    <w:p w:rsidR="00984054" w:rsidRPr="00984054" w:rsidRDefault="00984054" w:rsidP="00984054">
      <w:pPr>
        <w:pStyle w:val="BodyText"/>
        <w:rPr>
          <w:color w:val="1F497D" w:themeColor="text2"/>
          <w:lang w:val="en-US"/>
        </w:rPr>
      </w:pPr>
      <w:r w:rsidRPr="00984054">
        <w:rPr>
          <w:color w:val="1F497D" w:themeColor="text2"/>
          <w:lang w:val="en-US"/>
        </w:rPr>
        <w:t>Following the report on the Review of the Law of Negligence under the Chairmanship of the Hon David Andrew Ipp of 30 September 2002, the Medical panels were given a new role and became the ‘gatekeepers’ to Common Law access for claimants alleging personal injury.</w:t>
      </w:r>
    </w:p>
    <w:p w:rsidR="00984054" w:rsidRPr="00984054" w:rsidRDefault="00984054" w:rsidP="00984054">
      <w:pPr>
        <w:pStyle w:val="BodyText"/>
        <w:rPr>
          <w:color w:val="1F497D" w:themeColor="text2"/>
          <w:lang w:val="en-US"/>
        </w:rPr>
      </w:pPr>
      <w:r w:rsidRPr="00984054">
        <w:rPr>
          <w:color w:val="1F497D" w:themeColor="text2"/>
          <w:lang w:val="en-US"/>
        </w:rPr>
        <w:t>Under both, the Wrongs Act 1958 and the Accident Compensation Act 1985, the creation of Panels was seen as a means of (1) reducing costs to the compensation system, (2) ensuring cases were assessed in a timely fashion and (3) reducing the involvement (and therefore cost) of the legal profession.</w:t>
      </w:r>
    </w:p>
    <w:p w:rsidR="00984054" w:rsidRPr="00984054" w:rsidRDefault="00984054" w:rsidP="00984054">
      <w:pPr>
        <w:pStyle w:val="BodyText"/>
        <w:rPr>
          <w:color w:val="1F497D" w:themeColor="text2"/>
          <w:lang w:val="en-US"/>
        </w:rPr>
      </w:pPr>
      <w:r w:rsidRPr="00984054">
        <w:rPr>
          <w:color w:val="1F497D" w:themeColor="text2"/>
          <w:lang w:val="en-US"/>
        </w:rPr>
        <w:t xml:space="preserve">Carol will discuss statistical information that forms part of her PhD findings, and shows significant increase in workloads of Medical Panels since 2010 in relation to claims under the Wrongs Act 1958 and the Accident Compensation Act 1985. She will then consider possible reasons for such an increase. </w:t>
      </w:r>
    </w:p>
    <w:p w:rsidR="00984054" w:rsidRPr="00984054" w:rsidRDefault="00984054" w:rsidP="00984054">
      <w:pPr>
        <w:pStyle w:val="BodyText"/>
        <w:rPr>
          <w:color w:val="1F497D" w:themeColor="text2"/>
          <w:lang w:val="en-US"/>
        </w:rPr>
      </w:pPr>
      <w:r w:rsidRPr="00984054">
        <w:rPr>
          <w:color w:val="1F497D" w:themeColor="text2"/>
          <w:lang w:val="en-US"/>
        </w:rPr>
        <w:t>Carol will also present drafts of three questionnaires to assess whether the Panels are fulfilling the three purposes for which they were set up (reduction of costs, reduction in involvement of the legal profession; timely assessments).</w:t>
      </w:r>
    </w:p>
    <w:p w:rsidR="00984054" w:rsidRPr="00984054" w:rsidRDefault="00984054" w:rsidP="00984054">
      <w:pPr>
        <w:pStyle w:val="BodyText"/>
        <w:rPr>
          <w:b/>
          <w:color w:val="1F497D" w:themeColor="text2"/>
          <w:lang w:val="en-US"/>
        </w:rPr>
      </w:pPr>
      <w:r w:rsidRPr="00984054">
        <w:rPr>
          <w:b/>
          <w:color w:val="1F497D" w:themeColor="text2"/>
          <w:lang w:val="en-US"/>
        </w:rPr>
        <w:t>Venues:</w:t>
      </w:r>
    </w:p>
    <w:p w:rsidR="00984054" w:rsidRPr="00984054" w:rsidRDefault="00984054" w:rsidP="00984054">
      <w:pPr>
        <w:pStyle w:val="BodyText"/>
        <w:rPr>
          <w:color w:val="1F497D" w:themeColor="text2"/>
          <w:lang w:val="en-US"/>
        </w:rPr>
      </w:pPr>
      <w:r w:rsidRPr="00984054">
        <w:rPr>
          <w:color w:val="1F497D" w:themeColor="text2"/>
          <w:lang w:val="en-US"/>
        </w:rPr>
        <w:t>Melbourne:             Boardroom, Level 3, Deakin City Center, 550 Bourke Street</w:t>
      </w:r>
    </w:p>
    <w:p w:rsidR="00984054" w:rsidRPr="00984054" w:rsidRDefault="00984054" w:rsidP="00984054">
      <w:pPr>
        <w:pStyle w:val="BodyText"/>
        <w:rPr>
          <w:color w:val="1F497D" w:themeColor="text2"/>
          <w:lang w:val="en-US"/>
        </w:rPr>
      </w:pPr>
      <w:r w:rsidRPr="00984054">
        <w:rPr>
          <w:color w:val="1F497D" w:themeColor="text2"/>
          <w:lang w:val="en-US"/>
        </w:rPr>
        <w:t>The Waterfront</w:t>
      </w:r>
      <w:proofErr w:type="gramStart"/>
      <w:r w:rsidRPr="00984054">
        <w:rPr>
          <w:color w:val="1F497D" w:themeColor="text2"/>
          <w:lang w:val="en-US"/>
        </w:rPr>
        <w:t>:   F</w:t>
      </w:r>
      <w:proofErr w:type="gramEnd"/>
      <w:r w:rsidRPr="00984054">
        <w:rPr>
          <w:color w:val="1F497D" w:themeColor="text2"/>
          <w:lang w:val="en-US"/>
        </w:rPr>
        <w:t xml:space="preserve"> BL Mtg Room AD Level 2 ad2.308  (all Deakin Staff)  </w:t>
      </w:r>
    </w:p>
    <w:p w:rsidR="00984054" w:rsidRPr="00984054" w:rsidRDefault="00984054" w:rsidP="00984054">
      <w:pPr>
        <w:pStyle w:val="BodyText"/>
        <w:rPr>
          <w:color w:val="1F497D" w:themeColor="text2"/>
          <w:lang w:val="en-US"/>
        </w:rPr>
      </w:pPr>
      <w:r w:rsidRPr="00984054">
        <w:rPr>
          <w:color w:val="1F497D" w:themeColor="text2"/>
          <w:lang w:val="en-US"/>
        </w:rPr>
        <w:t>Burwood:                Moot Court:  C 4.05</w:t>
      </w:r>
    </w:p>
    <w:p w:rsidR="00984054" w:rsidRPr="00984054" w:rsidRDefault="00984054" w:rsidP="00984054">
      <w:pPr>
        <w:pStyle w:val="BodyText"/>
        <w:rPr>
          <w:color w:val="1F497D" w:themeColor="text2"/>
          <w:lang w:val="en-US"/>
        </w:rPr>
      </w:pPr>
      <w:r w:rsidRPr="00984054">
        <w:rPr>
          <w:color w:val="1F497D" w:themeColor="text2"/>
          <w:lang w:val="en-US"/>
        </w:rPr>
        <w:t xml:space="preserve">The VPN telephone number, to which all parties must, </w:t>
      </w:r>
      <w:proofErr w:type="gramStart"/>
      <w:r w:rsidRPr="00984054">
        <w:rPr>
          <w:color w:val="1F497D" w:themeColor="text2"/>
          <w:lang w:val="en-US"/>
        </w:rPr>
        <w:t>dial</w:t>
      </w:r>
      <w:proofErr w:type="gramEnd"/>
      <w:r w:rsidRPr="00984054">
        <w:rPr>
          <w:color w:val="1F497D" w:themeColor="text2"/>
          <w:lang w:val="en-US"/>
        </w:rPr>
        <w:t xml:space="preserve"> is: </w:t>
      </w:r>
    </w:p>
    <w:p w:rsidR="00984054" w:rsidRPr="00984054" w:rsidRDefault="00984054" w:rsidP="00984054">
      <w:pPr>
        <w:pStyle w:val="BodyText"/>
        <w:rPr>
          <w:color w:val="1F497D" w:themeColor="text2"/>
          <w:lang w:val="en-US"/>
        </w:rPr>
      </w:pPr>
      <w:r w:rsidRPr="00984054">
        <w:rPr>
          <w:color w:val="1F497D" w:themeColor="text2"/>
          <w:lang w:val="en-US"/>
        </w:rPr>
        <w:t>5223 6933</w:t>
      </w:r>
    </w:p>
    <w:p w:rsidR="008A5A2F" w:rsidRPr="00541936" w:rsidRDefault="00984054" w:rsidP="00984054">
      <w:pPr>
        <w:pStyle w:val="BodyText"/>
        <w:rPr>
          <w:color w:val="1F497D" w:themeColor="text2"/>
          <w:lang w:val="en-US"/>
        </w:rPr>
      </w:pPr>
      <w:r>
        <w:rPr>
          <w:color w:val="1F497D" w:themeColor="text2"/>
          <w:lang w:val="en-US"/>
        </w:rPr>
        <w:t xml:space="preserve">Colleagues </w:t>
      </w:r>
      <w:r w:rsidRPr="00984054">
        <w:rPr>
          <w:color w:val="1F497D" w:themeColor="text2"/>
          <w:lang w:val="en-US"/>
        </w:rPr>
        <w:t>wishing to participate via telephone can dial the VPN from any location (home, office, etc).</w:t>
      </w:r>
    </w:p>
    <w:sectPr w:rsidR="008A5A2F" w:rsidRPr="00541936" w:rsidSect="00EC6F35">
      <w:footerReference w:type="default" r:id="rId9"/>
      <w:headerReference w:type="first" r:id="rId10"/>
      <w:footerReference w:type="first" r:id="rId11"/>
      <w:pgSz w:w="11906" w:h="16838" w:code="9"/>
      <w:pgMar w:top="1440" w:right="1080" w:bottom="1440" w:left="1080" w:header="397"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99" w:rsidRDefault="006B0499">
      <w:pPr>
        <w:spacing w:after="0" w:line="240" w:lineRule="auto"/>
      </w:pPr>
      <w:r>
        <w:separator/>
      </w:r>
    </w:p>
  </w:endnote>
  <w:endnote w:type="continuationSeparator" w:id="0">
    <w:p w:rsidR="006B0499" w:rsidRDefault="006B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9D4031" w:rsidP="00E946E5">
    <w:pPr>
      <w:pStyle w:val="NormalBase"/>
    </w:pPr>
    <w:r>
      <w:rPr>
        <w:rFonts w:eastAsia="Times New Roman"/>
        <w:noProof/>
        <w:lang w:val="en-US"/>
      </w:rPr>
      <w:drawing>
        <wp:anchor distT="0" distB="0" distL="114300" distR="114300" simplePos="0" relativeHeight="251663360" behindDoc="1" locked="1" layoutInCell="1" allowOverlap="1" wp14:anchorId="147BA50D" wp14:editId="6677AFFF">
          <wp:simplePos x="0" y="0"/>
          <wp:positionH relativeFrom="page">
            <wp:posOffset>248285</wp:posOffset>
          </wp:positionH>
          <wp:positionV relativeFrom="page">
            <wp:posOffset>9764395</wp:posOffset>
          </wp:positionV>
          <wp:extent cx="7088400" cy="712800"/>
          <wp:effectExtent l="0" t="0" r="0" b="0"/>
          <wp:wrapNone/>
          <wp:docPr id="5"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2336" behindDoc="0" locked="1" layoutInCell="1" allowOverlap="1" wp14:anchorId="18A7C665" wp14:editId="7772D4B9">
              <wp:simplePos x="0" y="0"/>
              <wp:positionH relativeFrom="page">
                <wp:posOffset>245110</wp:posOffset>
              </wp:positionH>
              <wp:positionV relativeFrom="page">
                <wp:posOffset>9753600</wp:posOffset>
              </wp:positionV>
              <wp:extent cx="7099200" cy="723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9D4031" w:rsidP="00E946E5">
                          <w:pPr>
                            <w:pStyle w:val="FooterReport"/>
                          </w:pPr>
                          <w:r w:rsidRPr="00793852">
                            <w:t xml:space="preserve">School of </w:t>
                          </w:r>
                          <w:r>
                            <w:t>Law</w:t>
                          </w:r>
                          <w:r w:rsidRPr="00793852">
                            <w:t xml:space="preserve"> </w:t>
                          </w:r>
                        </w:p>
                        <w:p w:rsidR="00736438" w:rsidRDefault="009D4031" w:rsidP="00E946E5">
                          <w:pPr>
                            <w:pStyle w:val="FooterReport"/>
                          </w:pPr>
                          <w:r w:rsidRPr="00793852">
                            <w:t xml:space="preserve">Faculty of </w:t>
                          </w:r>
                          <w:r>
                            <w:t>Business and Law</w:t>
                          </w:r>
                        </w:p>
                        <w:p w:rsidR="00736438" w:rsidRPr="00793852" w:rsidRDefault="009D4031" w:rsidP="00E946E5">
                          <w:pPr>
                            <w:pStyle w:val="FooterReport"/>
                          </w:pPr>
                          <w:r w:rsidRPr="00793852">
                            <w:t>Melbourne Burwood Campus, 221 Burwood Highway, Burwood, VIC 3125</w:t>
                          </w:r>
                        </w:p>
                        <w:p w:rsidR="00736438" w:rsidRPr="00793852" w:rsidRDefault="009D4031"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067591" w:rsidP="00E94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pt;margin-top:768pt;width:559pt;height: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w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" filled="f" stroked="f">
              <v:textbox>
                <w:txbxContent>
                  <w:p w:rsidR="00736438" w:rsidRPr="00793852" w:rsidRDefault="009D4031" w:rsidP="00E946E5">
                    <w:pPr>
                      <w:pStyle w:val="FooterReport"/>
                    </w:pPr>
                    <w:r w:rsidRPr="00793852">
                      <w:t xml:space="preserve">School of </w:t>
                    </w:r>
                    <w:r>
                      <w:t>Law</w:t>
                    </w:r>
                    <w:r w:rsidRPr="00793852">
                      <w:t xml:space="preserve"> </w:t>
                    </w:r>
                  </w:p>
                  <w:p w:rsidR="00736438" w:rsidRDefault="009D4031" w:rsidP="00E946E5">
                    <w:pPr>
                      <w:pStyle w:val="FooterReport"/>
                    </w:pPr>
                    <w:r w:rsidRPr="00793852">
                      <w:t xml:space="preserve">Faculty of </w:t>
                    </w:r>
                    <w:r>
                      <w:t>Business and Law</w:t>
                    </w:r>
                  </w:p>
                  <w:p w:rsidR="00736438" w:rsidRPr="00793852" w:rsidRDefault="009D4031" w:rsidP="00E946E5">
                    <w:pPr>
                      <w:pStyle w:val="FooterReport"/>
                    </w:pPr>
                    <w:r w:rsidRPr="00793852">
                      <w:t>Melbourne Burwood Campus, 221 Burwood Highway, Burwood, VIC 3125</w:t>
                    </w:r>
                  </w:p>
                  <w:p w:rsidR="00736438" w:rsidRPr="00793852" w:rsidRDefault="009D4031"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9D4031" w:rsidP="00E946E5"/>
                </w:txbxContent>
              </v:textbox>
              <w10:wrap anchorx="page" anchory="page"/>
              <w10:anchorlock/>
            </v:shape>
          </w:pict>
        </mc:Fallback>
      </mc:AlternateContent>
    </w:r>
  </w:p>
  <w:p w:rsidR="00736438" w:rsidRPr="007C0F1B" w:rsidRDefault="009D4031" w:rsidP="00E946E5">
    <w:pPr>
      <w:pStyle w:val="FooterCode"/>
    </w:pPr>
    <w:r>
      <w:t>Deakin University CRICOS Provider Code: 00113B</w:t>
    </w:r>
  </w:p>
  <w:p w:rsidR="00736438" w:rsidRPr="00E946E5" w:rsidRDefault="00067591" w:rsidP="00E946E5">
    <w:pPr>
      <w:pStyle w:val="FooterBas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9D4031" w:rsidP="00C27889">
    <w:pPr>
      <w:pStyle w:val="NormalBase"/>
    </w:pPr>
    <w:r>
      <w:rPr>
        <w:rFonts w:eastAsia="Times New Roman"/>
        <w:noProof/>
        <w:lang w:val="en-US"/>
      </w:rPr>
      <w:drawing>
        <wp:anchor distT="0" distB="0" distL="114300" distR="114300" simplePos="0" relativeHeight="251661312" behindDoc="1" locked="1" layoutInCell="1" allowOverlap="1" wp14:anchorId="6101C51F" wp14:editId="1BF4193F">
          <wp:simplePos x="0" y="0"/>
          <wp:positionH relativeFrom="page">
            <wp:posOffset>248285</wp:posOffset>
          </wp:positionH>
          <wp:positionV relativeFrom="page">
            <wp:posOffset>9764395</wp:posOffset>
          </wp:positionV>
          <wp:extent cx="7088400" cy="712800"/>
          <wp:effectExtent l="0" t="0" r="0" b="0"/>
          <wp:wrapNone/>
          <wp:docPr id="7" name="Picture 7"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1" layoutInCell="1" allowOverlap="1" wp14:anchorId="7E793756" wp14:editId="0B4CD9F4">
              <wp:simplePos x="0" y="0"/>
              <wp:positionH relativeFrom="page">
                <wp:posOffset>245110</wp:posOffset>
              </wp:positionH>
              <wp:positionV relativeFrom="page">
                <wp:posOffset>9753600</wp:posOffset>
              </wp:positionV>
              <wp:extent cx="7099200" cy="723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9D4031" w:rsidP="00793852">
                          <w:pPr>
                            <w:pStyle w:val="FooterReport"/>
                          </w:pPr>
                          <w:r w:rsidRPr="00793852">
                            <w:t xml:space="preserve">School of </w:t>
                          </w:r>
                          <w:r>
                            <w:t>Law</w:t>
                          </w:r>
                        </w:p>
                        <w:p w:rsidR="00736438" w:rsidRPr="00793852" w:rsidRDefault="009D4031" w:rsidP="00793852">
                          <w:pPr>
                            <w:pStyle w:val="FooterReport"/>
                          </w:pPr>
                          <w:r w:rsidRPr="00793852">
                            <w:t xml:space="preserve">Faculty of </w:t>
                          </w:r>
                          <w:r>
                            <w:t xml:space="preserve">Business </w:t>
                          </w:r>
                          <w:r w:rsidRPr="00793852">
                            <w:t xml:space="preserve">and </w:t>
                          </w:r>
                          <w:r>
                            <w:t>Law</w:t>
                          </w:r>
                        </w:p>
                        <w:p w:rsidR="00736438" w:rsidRPr="00793852" w:rsidRDefault="009D4031" w:rsidP="00793852">
                          <w:pPr>
                            <w:pStyle w:val="FooterReport"/>
                          </w:pPr>
                          <w:r w:rsidRPr="00793852">
                            <w:t>Melbourne Burwood Campus, 221 Burwood Highway, Burwood, VIC 3125</w:t>
                          </w:r>
                        </w:p>
                        <w:p w:rsidR="00736438" w:rsidRPr="00793852" w:rsidRDefault="009D4031"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0675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3pt;margin-top:768pt;width:559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vtwIAAMA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At+QhvtwIA&#10;AMAFAAAOAAAAAAAAAAAAAAAAAC4CAABkcnMvZTJvRG9jLnhtbFBLAQItABQABgAIAAAAIQByfMr8&#10;3wAAAA0BAAAPAAAAAAAAAAAAAAAAABEFAABkcnMvZG93bnJldi54bWxQSwUGAAAAAAQABADzAAAA&#10;HQYAAAAA&#10;" filled="f" stroked="f">
              <v:textbox>
                <w:txbxContent>
                  <w:p w:rsidR="00736438" w:rsidRPr="00793852" w:rsidRDefault="009D4031" w:rsidP="00793852">
                    <w:pPr>
                      <w:pStyle w:val="FooterReport"/>
                    </w:pPr>
                    <w:r w:rsidRPr="00793852">
                      <w:t xml:space="preserve">School of </w:t>
                    </w:r>
                    <w:r>
                      <w:t>Law</w:t>
                    </w:r>
                  </w:p>
                  <w:p w:rsidR="00736438" w:rsidRPr="00793852" w:rsidRDefault="009D4031" w:rsidP="00793852">
                    <w:pPr>
                      <w:pStyle w:val="FooterReport"/>
                    </w:pPr>
                    <w:r w:rsidRPr="00793852">
                      <w:t xml:space="preserve">Faculty of </w:t>
                    </w:r>
                    <w:r>
                      <w:t xml:space="preserve">Business </w:t>
                    </w:r>
                    <w:r w:rsidRPr="00793852">
                      <w:t xml:space="preserve">and </w:t>
                    </w:r>
                    <w:r>
                      <w:t>Law</w:t>
                    </w:r>
                  </w:p>
                  <w:p w:rsidR="00736438" w:rsidRPr="00793852" w:rsidRDefault="009D4031" w:rsidP="00793852">
                    <w:pPr>
                      <w:pStyle w:val="FooterReport"/>
                    </w:pPr>
                    <w:r w:rsidRPr="00793852">
                      <w:t>Melb</w:t>
                    </w:r>
                    <w:r w:rsidRPr="00793852">
                      <w:t>ourne Burwood Campus, 221 Burwood Highway, Burwood, VIC 3125</w:t>
                    </w:r>
                  </w:p>
                  <w:p w:rsidR="00736438" w:rsidRPr="00793852" w:rsidRDefault="009D4031"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9D4031"/>
                </w:txbxContent>
              </v:textbox>
              <w10:wrap anchorx="page" anchory="page"/>
              <w10:anchorlock/>
            </v:shape>
          </w:pict>
        </mc:Fallback>
      </mc:AlternateContent>
    </w:r>
  </w:p>
  <w:p w:rsidR="00736438" w:rsidRPr="007C0F1B" w:rsidRDefault="009D4031" w:rsidP="008B402F">
    <w:pPr>
      <w:pStyle w:val="FooterCode"/>
    </w:pPr>
    <w:r>
      <w:t>Deakin University CRICOS Provider Code: 00113B</w:t>
    </w:r>
  </w:p>
  <w:p w:rsidR="00736438" w:rsidRPr="007C0F1B" w:rsidRDefault="00067591" w:rsidP="008B402F">
    <w:pPr>
      <w:pStyle w:val="FooterBas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99" w:rsidRDefault="006B0499">
      <w:pPr>
        <w:spacing w:after="0" w:line="240" w:lineRule="auto"/>
      </w:pPr>
      <w:r>
        <w:separator/>
      </w:r>
    </w:p>
  </w:footnote>
  <w:footnote w:type="continuationSeparator" w:id="0">
    <w:p w:rsidR="006B0499" w:rsidRDefault="006B04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9D4031" w:rsidP="00A42BB8">
    <w:pPr>
      <w:pStyle w:val="NormalBase"/>
      <w:keepNext/>
    </w:pPr>
    <w:r>
      <w:rPr>
        <w:noProof/>
        <w:lang w:val="en-US"/>
      </w:rPr>
      <w:drawing>
        <wp:anchor distT="0" distB="0" distL="114300" distR="114300" simplePos="0" relativeHeight="251660288" behindDoc="0" locked="0" layoutInCell="1" allowOverlap="1" wp14:anchorId="0B57BAB7" wp14:editId="3FA2BB8C">
          <wp:simplePos x="0" y="0"/>
          <wp:positionH relativeFrom="page">
            <wp:posOffset>3086100</wp:posOffset>
          </wp:positionH>
          <wp:positionV relativeFrom="page">
            <wp:posOffset>257175</wp:posOffset>
          </wp:positionV>
          <wp:extent cx="1333500" cy="1333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rsidR="00736438" w:rsidRDefault="00067591" w:rsidP="00A42BB8">
    <w:pPr>
      <w:pStyle w:val="NormalBase"/>
      <w:keepNext/>
    </w:pPr>
  </w:p>
  <w:p w:rsidR="00736438" w:rsidRDefault="00067591" w:rsidP="00A42BB8">
    <w:pPr>
      <w:pStyle w:val="NormalBase"/>
      <w:keepNext/>
    </w:pPr>
  </w:p>
  <w:p w:rsidR="00736438" w:rsidRDefault="00067591" w:rsidP="00A42BB8">
    <w:pPr>
      <w:pStyle w:val="NormalBase"/>
      <w:keepNext/>
    </w:pPr>
  </w:p>
  <w:p w:rsidR="00736438" w:rsidRDefault="00067591" w:rsidP="00A42BB8">
    <w:pPr>
      <w:pStyle w:val="NormalBase"/>
      <w:keepNext/>
    </w:pPr>
  </w:p>
  <w:p w:rsidR="00736438" w:rsidRDefault="00067591" w:rsidP="00A42BB8">
    <w:pPr>
      <w:pStyle w:val="NormalBase"/>
      <w:keepNext/>
    </w:pPr>
  </w:p>
  <w:p w:rsidR="00736438" w:rsidRDefault="00067591" w:rsidP="00A42BB8">
    <w:pPr>
      <w:pStyle w:val="NormalBase"/>
      <w:keepNext/>
    </w:pPr>
  </w:p>
  <w:p w:rsidR="00736438" w:rsidRDefault="00067591" w:rsidP="00A42BB8">
    <w:pPr>
      <w:pStyle w:val="NormalBase"/>
      <w:keepNext/>
    </w:pPr>
  </w:p>
  <w:p w:rsidR="00736438" w:rsidRDefault="00067591" w:rsidP="00A42BB8">
    <w:pPr>
      <w:pStyle w:val="NormalBase"/>
      <w:keepNext/>
    </w:pPr>
  </w:p>
  <w:p w:rsidR="00736438" w:rsidRDefault="00067591" w:rsidP="00825D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3287"/>
    <w:multiLevelType w:val="hybridMultilevel"/>
    <w:tmpl w:val="28EA2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31"/>
    <w:rsid w:val="00067591"/>
    <w:rsid w:val="000D5514"/>
    <w:rsid w:val="0019410C"/>
    <w:rsid w:val="001A4B6A"/>
    <w:rsid w:val="0046739B"/>
    <w:rsid w:val="00541936"/>
    <w:rsid w:val="006B0499"/>
    <w:rsid w:val="008A5A2F"/>
    <w:rsid w:val="008C0133"/>
    <w:rsid w:val="00984054"/>
    <w:rsid w:val="009D4031"/>
    <w:rsid w:val="00A916AB"/>
    <w:rsid w:val="00C95405"/>
    <w:rsid w:val="00D902A9"/>
    <w:rsid w:val="00FE12FC"/>
    <w:rsid w:val="00FF7B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31"/>
  </w:style>
  <w:style w:type="paragraph" w:styleId="Heading1">
    <w:name w:val="heading 1"/>
    <w:basedOn w:val="Normal"/>
    <w:next w:val="BodyText"/>
    <w:link w:val="Heading1Char"/>
    <w:unhideWhenUsed/>
    <w:qFormat/>
    <w:rsid w:val="009D4031"/>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u w:color="000000"/>
    </w:rPr>
  </w:style>
  <w:style w:type="paragraph" w:styleId="Heading2">
    <w:name w:val="heading 2"/>
    <w:basedOn w:val="Heading1"/>
    <w:next w:val="BodyText"/>
    <w:link w:val="Heading2Char"/>
    <w:unhideWhenUsed/>
    <w:qFormat/>
    <w:rsid w:val="009D4031"/>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9D4031"/>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unhideWhenUsed/>
    <w:qFormat/>
    <w:rsid w:val="009D4031"/>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9D4031"/>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031"/>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9D4031"/>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9D4031"/>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rsid w:val="009D4031"/>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9D4031"/>
    <w:rPr>
      <w:rFonts w:ascii="Calibri" w:eastAsiaTheme="majorEastAsia" w:hAnsi="Calibri" w:cs="Calibri"/>
      <w:b/>
      <w:iCs/>
      <w:color w:val="000000"/>
      <w:sz w:val="20"/>
      <w:szCs w:val="26"/>
      <w:u w:color="000000"/>
    </w:rPr>
  </w:style>
  <w:style w:type="paragraph" w:styleId="Header">
    <w:name w:val="header"/>
    <w:basedOn w:val="Normal"/>
    <w:link w:val="HeaderChar"/>
    <w:uiPriority w:val="99"/>
    <w:semiHidden/>
    <w:unhideWhenUsed/>
    <w:rsid w:val="009D40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4031"/>
  </w:style>
  <w:style w:type="paragraph" w:customStyle="1" w:styleId="NormalBase">
    <w:name w:val="Normal Base"/>
    <w:rsid w:val="009D4031"/>
    <w:pPr>
      <w:spacing w:after="0" w:line="240" w:lineRule="auto"/>
    </w:pPr>
    <w:rPr>
      <w:rFonts w:ascii="Calibri" w:hAnsi="Calibri" w:cs="Calibri"/>
      <w:color w:val="000000"/>
      <w:sz w:val="20"/>
      <w:u w:color="000000"/>
    </w:rPr>
  </w:style>
  <w:style w:type="paragraph" w:customStyle="1" w:styleId="FooterReport">
    <w:name w:val="Footer: Report"/>
    <w:basedOn w:val="Normal"/>
    <w:semiHidden/>
    <w:unhideWhenUsed/>
    <w:rsid w:val="009D4031"/>
    <w:pPr>
      <w:tabs>
        <w:tab w:val="center" w:pos="5329"/>
      </w:tabs>
      <w:spacing w:after="0" w:line="240" w:lineRule="auto"/>
      <w:jc w:val="center"/>
    </w:pPr>
    <w:rPr>
      <w:rFonts w:ascii="Calibri" w:hAnsi="Calibri" w:cs="Calibri"/>
      <w:b/>
      <w:color w:val="FFFFFF"/>
      <w:sz w:val="20"/>
      <w:u w:color="000000"/>
    </w:rPr>
  </w:style>
  <w:style w:type="paragraph" w:customStyle="1" w:styleId="FooterCode">
    <w:name w:val="Footer: Code"/>
    <w:basedOn w:val="Normal"/>
    <w:qFormat/>
    <w:rsid w:val="009D4031"/>
    <w:pPr>
      <w:spacing w:before="560" w:after="1080" w:line="240" w:lineRule="auto"/>
      <w:ind w:right="-992"/>
      <w:jc w:val="right"/>
    </w:pPr>
    <w:rPr>
      <w:rFonts w:ascii="Calibri" w:hAnsi="Calibri" w:cs="Calibri"/>
      <w:color w:val="000000"/>
      <w:sz w:val="14"/>
      <w:u w:color="000000"/>
    </w:rPr>
  </w:style>
  <w:style w:type="paragraph" w:customStyle="1" w:styleId="FooterBase">
    <w:name w:val="Footer: Base"/>
    <w:basedOn w:val="Normal"/>
    <w:qFormat/>
    <w:rsid w:val="009D4031"/>
    <w:pPr>
      <w:spacing w:after="0" w:line="240" w:lineRule="auto"/>
    </w:pPr>
    <w:rPr>
      <w:rFonts w:ascii="Times New Roman" w:eastAsiaTheme="minorEastAsia" w:hAnsi="Times New Roman" w:cs="Times New Roman"/>
      <w:sz w:val="14"/>
      <w:szCs w:val="24"/>
      <w:u w:color="000000"/>
      <w:lang w:val="en-US"/>
    </w:rPr>
  </w:style>
  <w:style w:type="character" w:styleId="Hyperlink">
    <w:name w:val="Hyperlink"/>
    <w:basedOn w:val="DefaultParagraphFont"/>
    <w:uiPriority w:val="99"/>
    <w:unhideWhenUsed/>
    <w:rsid w:val="009D4031"/>
    <w:rPr>
      <w:color w:val="0000FF" w:themeColor="hyperlink"/>
      <w:u w:val="single"/>
    </w:rPr>
  </w:style>
  <w:style w:type="paragraph" w:styleId="BodyText">
    <w:name w:val="Body Text"/>
    <w:basedOn w:val="Normal"/>
    <w:link w:val="BodyTextChar"/>
    <w:uiPriority w:val="99"/>
    <w:semiHidden/>
    <w:unhideWhenUsed/>
    <w:rsid w:val="009D4031"/>
    <w:pPr>
      <w:spacing w:after="120"/>
    </w:pPr>
  </w:style>
  <w:style w:type="character" w:customStyle="1" w:styleId="BodyTextChar">
    <w:name w:val="Body Text Char"/>
    <w:basedOn w:val="DefaultParagraphFont"/>
    <w:link w:val="BodyText"/>
    <w:uiPriority w:val="99"/>
    <w:semiHidden/>
    <w:rsid w:val="009D4031"/>
  </w:style>
  <w:style w:type="paragraph" w:styleId="BalloonText">
    <w:name w:val="Balloon Text"/>
    <w:basedOn w:val="Normal"/>
    <w:link w:val="BalloonTextChar"/>
    <w:uiPriority w:val="99"/>
    <w:semiHidden/>
    <w:unhideWhenUsed/>
    <w:rsid w:val="009D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3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31"/>
  </w:style>
  <w:style w:type="paragraph" w:styleId="Heading1">
    <w:name w:val="heading 1"/>
    <w:basedOn w:val="Normal"/>
    <w:next w:val="BodyText"/>
    <w:link w:val="Heading1Char"/>
    <w:unhideWhenUsed/>
    <w:qFormat/>
    <w:rsid w:val="009D4031"/>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u w:color="000000"/>
    </w:rPr>
  </w:style>
  <w:style w:type="paragraph" w:styleId="Heading2">
    <w:name w:val="heading 2"/>
    <w:basedOn w:val="Heading1"/>
    <w:next w:val="BodyText"/>
    <w:link w:val="Heading2Char"/>
    <w:unhideWhenUsed/>
    <w:qFormat/>
    <w:rsid w:val="009D4031"/>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9D4031"/>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unhideWhenUsed/>
    <w:qFormat/>
    <w:rsid w:val="009D4031"/>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9D4031"/>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031"/>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9D4031"/>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9D4031"/>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rsid w:val="009D4031"/>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9D4031"/>
    <w:rPr>
      <w:rFonts w:ascii="Calibri" w:eastAsiaTheme="majorEastAsia" w:hAnsi="Calibri" w:cs="Calibri"/>
      <w:b/>
      <w:iCs/>
      <w:color w:val="000000"/>
      <w:sz w:val="20"/>
      <w:szCs w:val="26"/>
      <w:u w:color="000000"/>
    </w:rPr>
  </w:style>
  <w:style w:type="paragraph" w:styleId="Header">
    <w:name w:val="header"/>
    <w:basedOn w:val="Normal"/>
    <w:link w:val="HeaderChar"/>
    <w:uiPriority w:val="99"/>
    <w:semiHidden/>
    <w:unhideWhenUsed/>
    <w:rsid w:val="009D40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4031"/>
  </w:style>
  <w:style w:type="paragraph" w:customStyle="1" w:styleId="NormalBase">
    <w:name w:val="Normal Base"/>
    <w:rsid w:val="009D4031"/>
    <w:pPr>
      <w:spacing w:after="0" w:line="240" w:lineRule="auto"/>
    </w:pPr>
    <w:rPr>
      <w:rFonts w:ascii="Calibri" w:hAnsi="Calibri" w:cs="Calibri"/>
      <w:color w:val="000000"/>
      <w:sz w:val="20"/>
      <w:u w:color="000000"/>
    </w:rPr>
  </w:style>
  <w:style w:type="paragraph" w:customStyle="1" w:styleId="FooterReport">
    <w:name w:val="Footer: Report"/>
    <w:basedOn w:val="Normal"/>
    <w:semiHidden/>
    <w:unhideWhenUsed/>
    <w:rsid w:val="009D4031"/>
    <w:pPr>
      <w:tabs>
        <w:tab w:val="center" w:pos="5329"/>
      </w:tabs>
      <w:spacing w:after="0" w:line="240" w:lineRule="auto"/>
      <w:jc w:val="center"/>
    </w:pPr>
    <w:rPr>
      <w:rFonts w:ascii="Calibri" w:hAnsi="Calibri" w:cs="Calibri"/>
      <w:b/>
      <w:color w:val="FFFFFF"/>
      <w:sz w:val="20"/>
      <w:u w:color="000000"/>
    </w:rPr>
  </w:style>
  <w:style w:type="paragraph" w:customStyle="1" w:styleId="FooterCode">
    <w:name w:val="Footer: Code"/>
    <w:basedOn w:val="Normal"/>
    <w:qFormat/>
    <w:rsid w:val="009D4031"/>
    <w:pPr>
      <w:spacing w:before="560" w:after="1080" w:line="240" w:lineRule="auto"/>
      <w:ind w:right="-992"/>
      <w:jc w:val="right"/>
    </w:pPr>
    <w:rPr>
      <w:rFonts w:ascii="Calibri" w:hAnsi="Calibri" w:cs="Calibri"/>
      <w:color w:val="000000"/>
      <w:sz w:val="14"/>
      <w:u w:color="000000"/>
    </w:rPr>
  </w:style>
  <w:style w:type="paragraph" w:customStyle="1" w:styleId="FooterBase">
    <w:name w:val="Footer: Base"/>
    <w:basedOn w:val="Normal"/>
    <w:qFormat/>
    <w:rsid w:val="009D4031"/>
    <w:pPr>
      <w:spacing w:after="0" w:line="240" w:lineRule="auto"/>
    </w:pPr>
    <w:rPr>
      <w:rFonts w:ascii="Times New Roman" w:eastAsiaTheme="minorEastAsia" w:hAnsi="Times New Roman" w:cs="Times New Roman"/>
      <w:sz w:val="14"/>
      <w:szCs w:val="24"/>
      <w:u w:color="000000"/>
      <w:lang w:val="en-US"/>
    </w:rPr>
  </w:style>
  <w:style w:type="character" w:styleId="Hyperlink">
    <w:name w:val="Hyperlink"/>
    <w:basedOn w:val="DefaultParagraphFont"/>
    <w:uiPriority w:val="99"/>
    <w:unhideWhenUsed/>
    <w:rsid w:val="009D4031"/>
    <w:rPr>
      <w:color w:val="0000FF" w:themeColor="hyperlink"/>
      <w:u w:val="single"/>
    </w:rPr>
  </w:style>
  <w:style w:type="paragraph" w:styleId="BodyText">
    <w:name w:val="Body Text"/>
    <w:basedOn w:val="Normal"/>
    <w:link w:val="BodyTextChar"/>
    <w:uiPriority w:val="99"/>
    <w:semiHidden/>
    <w:unhideWhenUsed/>
    <w:rsid w:val="009D4031"/>
    <w:pPr>
      <w:spacing w:after="120"/>
    </w:pPr>
  </w:style>
  <w:style w:type="character" w:customStyle="1" w:styleId="BodyTextChar">
    <w:name w:val="Body Text Char"/>
    <w:basedOn w:val="DefaultParagraphFont"/>
    <w:link w:val="BodyText"/>
    <w:uiPriority w:val="99"/>
    <w:semiHidden/>
    <w:rsid w:val="009D4031"/>
  </w:style>
  <w:style w:type="paragraph" w:styleId="BalloonText">
    <w:name w:val="Balloon Text"/>
    <w:basedOn w:val="Normal"/>
    <w:link w:val="BalloonTextChar"/>
    <w:uiPriority w:val="99"/>
    <w:semiHidden/>
    <w:unhideWhenUsed/>
    <w:rsid w:val="009D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ro.deakin.edu.au/view/DU:30059373"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Samantha Hepburn</cp:lastModifiedBy>
  <cp:revision>2</cp:revision>
  <dcterms:created xsi:type="dcterms:W3CDTF">2014-10-08T05:19:00Z</dcterms:created>
  <dcterms:modified xsi:type="dcterms:W3CDTF">2014-10-08T05:19:00Z</dcterms:modified>
</cp:coreProperties>
</file>