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5922" w14:textId="77777777" w:rsidR="00BC5CDF" w:rsidRDefault="00BC5CDF" w:rsidP="00BC5CDF">
      <w:pPr>
        <w:kinsoku w:val="0"/>
        <w:overflowPunct w:val="0"/>
        <w:spacing w:before="16" w:line="280" w:lineRule="exact"/>
        <w:rPr>
          <w:sz w:val="28"/>
          <w:szCs w:val="28"/>
        </w:rPr>
      </w:pPr>
      <w:bookmarkStart w:id="0" w:name="_GoBack"/>
      <w:bookmarkEnd w:id="0"/>
    </w:p>
    <w:p w14:paraId="7E1A386D" w14:textId="77777777" w:rsidR="00BC5CDF" w:rsidRDefault="00BC5CDF" w:rsidP="00BC5CDF"/>
    <w:p w14:paraId="4EF3ADF3" w14:textId="77777777" w:rsidR="00BC5CDF" w:rsidRDefault="00BC5CDF" w:rsidP="00BC5CDF"/>
    <w:p w14:paraId="756522F5" w14:textId="77777777" w:rsidR="00BC5CDF" w:rsidRDefault="00BC5CDF" w:rsidP="00BC5CDF">
      <w:pPr>
        <w:kinsoku w:val="0"/>
        <w:overflowPunct w:val="0"/>
        <w:spacing w:before="19" w:line="60" w:lineRule="exact"/>
        <w:rPr>
          <w:sz w:val="6"/>
          <w:szCs w:val="6"/>
        </w:rPr>
      </w:pPr>
    </w:p>
    <w:p w14:paraId="43FB0F7C" w14:textId="77777777" w:rsidR="00BC5CDF" w:rsidRDefault="00BC5CDF" w:rsidP="00BC5CDF">
      <w:pPr>
        <w:tabs>
          <w:tab w:val="left" w:pos="6810"/>
          <w:tab w:val="left" w:pos="7980"/>
        </w:tabs>
      </w:pPr>
    </w:p>
    <w:p w14:paraId="118DD2E7" w14:textId="77777777" w:rsidR="00BC5CDF" w:rsidRPr="00FC7047" w:rsidRDefault="00BC5CDF" w:rsidP="00BC5CDF">
      <w:pPr>
        <w:tabs>
          <w:tab w:val="left" w:pos="6810"/>
          <w:tab w:val="left" w:pos="7980"/>
        </w:tabs>
        <w:rPr>
          <w:rFonts w:ascii="Calibri" w:hAnsi="Calibri" w:cs="Arial"/>
          <w:b/>
        </w:rPr>
      </w:pPr>
      <w:r w:rsidRPr="00FC7047">
        <w:rPr>
          <w:rFonts w:ascii="Calibri" w:hAnsi="Calibri"/>
          <w:b/>
        </w:rPr>
        <w:t>A</w:t>
      </w:r>
      <w:r w:rsidRPr="00FC7047">
        <w:rPr>
          <w:rFonts w:ascii="Calibri" w:hAnsi="Calibri" w:cs="Arial"/>
          <w:b/>
          <w:bCs/>
          <w:spacing w:val="-2"/>
        </w:rPr>
        <w:t>PPENDIX:</w:t>
      </w:r>
      <w:r w:rsidRPr="00FC7047">
        <w:rPr>
          <w:rFonts w:ascii="Calibri" w:hAnsi="Calibri" w:cs="Arial"/>
          <w:b/>
          <w:bCs/>
          <w:spacing w:val="2"/>
        </w:rPr>
        <w:t xml:space="preserve"> </w:t>
      </w:r>
      <w:r w:rsidRPr="00FC7047">
        <w:rPr>
          <w:rFonts w:ascii="Calibri" w:hAnsi="Calibri" w:cs="Arial"/>
          <w:b/>
          <w:bCs/>
          <w:spacing w:val="-1"/>
        </w:rPr>
        <w:t>CORE</w:t>
      </w:r>
      <w:r w:rsidRPr="00FC7047">
        <w:rPr>
          <w:rFonts w:ascii="Calibri" w:hAnsi="Calibri" w:cs="Arial"/>
          <w:b/>
          <w:bCs/>
          <w:spacing w:val="1"/>
        </w:rPr>
        <w:t xml:space="preserve"> </w:t>
      </w:r>
      <w:r w:rsidRPr="00FC7047">
        <w:rPr>
          <w:rFonts w:ascii="Calibri" w:hAnsi="Calibri" w:cs="Arial"/>
          <w:b/>
          <w:bCs/>
          <w:spacing w:val="-3"/>
        </w:rPr>
        <w:t xml:space="preserve">CLINICAL </w:t>
      </w:r>
      <w:r w:rsidRPr="00FC7047">
        <w:rPr>
          <w:rFonts w:ascii="Calibri" w:hAnsi="Calibri" w:cs="Arial"/>
          <w:b/>
          <w:bCs/>
          <w:spacing w:val="-1"/>
        </w:rPr>
        <w:t>COMPETENCIES</w:t>
      </w:r>
      <w:r>
        <w:rPr>
          <w:rStyle w:val="EndnoteReference"/>
          <w:rFonts w:ascii="Calibri" w:hAnsi="Calibri" w:cs="Arial"/>
          <w:b/>
          <w:bCs/>
          <w:spacing w:val="-1"/>
        </w:rPr>
        <w:endnoteReference w:id="1"/>
      </w:r>
    </w:p>
    <w:p w14:paraId="08E0AD01" w14:textId="77777777" w:rsidR="00BC5CDF" w:rsidRDefault="00BC5CDF" w:rsidP="00BC5CDF">
      <w:pPr>
        <w:kinsoku w:val="0"/>
        <w:overflowPunct w:val="0"/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7"/>
      </w:tblGrid>
      <w:tr w:rsidR="00BC5CDF" w:rsidRPr="00FC7047" w14:paraId="44E6547B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2E59C4F9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rFonts w:ascii="Calibri" w:hAnsi="Calibri"/>
              </w:rPr>
            </w:pPr>
            <w:r w:rsidRPr="00FC7047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Professional</w:t>
            </w:r>
            <w:r w:rsidRPr="00FC7047">
              <w:rPr>
                <w:rFonts w:ascii="Calibri" w:hAnsi="Calibri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pacing w:val="2"/>
                <w:sz w:val="22"/>
                <w:szCs w:val="22"/>
              </w:rPr>
              <w:t>Responsibilities</w:t>
            </w:r>
            <w:r w:rsidRPr="00FC7047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:</w:t>
            </w:r>
          </w:p>
        </w:tc>
      </w:tr>
      <w:tr w:rsidR="00BC5CDF" w:rsidRPr="00FC7047" w14:paraId="6AFE82DE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CC39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 xml:space="preserve">Practices in accordance with the standards of </w:t>
            </w:r>
            <w:r w:rsidRPr="00FC7047">
              <w:rPr>
                <w:rFonts w:ascii="Calibri" w:hAnsi="Calibri" w:cs="Arial"/>
                <w:spacing w:val="-2"/>
                <w:sz w:val="22"/>
                <w:szCs w:val="22"/>
              </w:rPr>
              <w:t>ethical</w:t>
            </w:r>
            <w:r>
              <w:rPr>
                <w:rFonts w:ascii="Calibri" w:hAnsi="Calibri" w:cs="Arial"/>
                <w:spacing w:val="-2"/>
                <w:sz w:val="22"/>
                <w:szCs w:val="22"/>
              </w:rPr>
              <w:t xml:space="preserve"> behaviour of the profession</w:t>
            </w:r>
          </w:p>
        </w:tc>
      </w:tr>
      <w:tr w:rsidR="00BC5CDF" w:rsidRPr="00FC7047" w14:paraId="3B89A97B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6886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Communicates appropriate advice and information</w:t>
            </w:r>
          </w:p>
        </w:tc>
      </w:tr>
      <w:tr w:rsidR="00BC5CDF" w:rsidRPr="00FC7047" w14:paraId="13141354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2B37B47E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/>
              </w:rPr>
            </w:pPr>
            <w:r w:rsidRPr="00FC7047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 xml:space="preserve">Communication </w:t>
            </w: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and Patient History</w:t>
            </w:r>
            <w:r w:rsidRPr="00FC7047">
              <w:rPr>
                <w:rFonts w:ascii="Calibri" w:hAnsi="Calibri" w:cs="Arial"/>
                <w:b/>
                <w:bCs/>
                <w:spacing w:val="-3"/>
                <w:sz w:val="22"/>
                <w:szCs w:val="22"/>
              </w:rPr>
              <w:t>:</w:t>
            </w:r>
          </w:p>
        </w:tc>
      </w:tr>
      <w:tr w:rsidR="00BC5CDF" w:rsidRPr="00FC7047" w14:paraId="2DFF7213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30EC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Obtains a case history and elicits the required information for diagnosis and management </w:t>
            </w:r>
          </w:p>
        </w:tc>
      </w:tr>
      <w:tr w:rsidR="00BC5CDF" w:rsidRPr="00FC7047" w14:paraId="0790505D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206A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Obtains informed patient consent</w:t>
            </w:r>
          </w:p>
        </w:tc>
      </w:tr>
      <w:tr w:rsidR="00BC5CDF" w:rsidRPr="00FC7047" w14:paraId="11BF9540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4667A8B2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spacing w:val="-3"/>
                <w:sz w:val="22"/>
                <w:szCs w:val="22"/>
              </w:rPr>
              <w:t xml:space="preserve"> Patient Examination</w:t>
            </w:r>
            <w:r w:rsidRPr="00FC7047">
              <w:rPr>
                <w:rFonts w:ascii="Calibri" w:hAnsi="Calibri" w:cs="Arial"/>
                <w:b/>
                <w:bCs/>
                <w:spacing w:val="-3"/>
                <w:sz w:val="22"/>
                <w:szCs w:val="22"/>
              </w:rPr>
              <w:t>:</w:t>
            </w:r>
          </w:p>
        </w:tc>
      </w:tr>
      <w:tr w:rsidR="00BC5CDF" w:rsidRPr="00FC7047" w14:paraId="4D70E751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70E4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Formulates and implements an examination plan</w:t>
            </w:r>
          </w:p>
        </w:tc>
      </w:tr>
      <w:tr w:rsidR="00BC5CDF" w:rsidRPr="00FC7047" w14:paraId="2D3C2419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6FE71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Assesses the ocular adnexa and eye</w:t>
            </w:r>
          </w:p>
        </w:tc>
      </w:tr>
      <w:tr w:rsidR="00BC5CDF" w:rsidRPr="00FC7047" w14:paraId="28F360B1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8E0C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Assesses visual function, visual fields, colour vision and pupil function</w:t>
            </w:r>
          </w:p>
        </w:tc>
      </w:tr>
      <w:tr w:rsidR="00BC5CDF" w:rsidRPr="00FC7047" w14:paraId="4146A869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235F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 w:rsidRPr="00FC7047">
              <w:rPr>
                <w:rFonts w:ascii="Calibri" w:hAnsi="Calibri" w:cs="Arial"/>
                <w:spacing w:val="-2"/>
                <w:sz w:val="22"/>
                <w:szCs w:val="22"/>
              </w:rPr>
              <w:t>Assess</w:t>
            </w:r>
            <w:r>
              <w:rPr>
                <w:rFonts w:ascii="Calibri" w:hAnsi="Calibri" w:cs="Arial"/>
                <w:spacing w:val="-2"/>
                <w:sz w:val="22"/>
                <w:szCs w:val="22"/>
              </w:rPr>
              <w:t>es refractive status</w:t>
            </w:r>
          </w:p>
        </w:tc>
      </w:tr>
      <w:tr w:rsidR="00BC5CDF" w:rsidRPr="00FC7047" w14:paraId="76934E70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A720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Assesses oculomotor and binocular function</w:t>
            </w:r>
          </w:p>
        </w:tc>
      </w:tr>
      <w:tr w:rsidR="00BC5CDF" w:rsidRPr="00FC7047" w14:paraId="6C426A55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51A66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</w:rPr>
              <w:t>Assesses signs and symptoms of significance to patient’s systemic health</w:t>
            </w:r>
          </w:p>
        </w:tc>
      </w:tr>
      <w:tr w:rsidR="00BC5CDF" w:rsidRPr="00FC7047" w14:paraId="61A893ED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4AF63052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Diagnosis and Management</w:t>
            </w:r>
            <w:r w:rsidRPr="00FC7047">
              <w:rPr>
                <w:rFonts w:ascii="Calibri" w:hAnsi="Calibri" w:cs="Arial"/>
                <w:b/>
                <w:bCs/>
                <w:spacing w:val="-3"/>
                <w:sz w:val="22"/>
                <w:szCs w:val="22"/>
              </w:rPr>
              <w:t>:</w:t>
            </w:r>
          </w:p>
        </w:tc>
      </w:tr>
      <w:tr w:rsidR="00BC5CDF" w:rsidRPr="00FC7047" w14:paraId="7B66FAD8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D8A5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Establishes diagnoses</w:t>
            </w:r>
          </w:p>
        </w:tc>
      </w:tr>
      <w:tr w:rsidR="00BC5CDF" w:rsidRPr="00FC7047" w14:paraId="257DF99E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268E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Designs a management plan in consultation with the patient and implements it</w:t>
            </w:r>
            <w:r w:rsidRPr="00FC7047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</w:p>
        </w:tc>
      </w:tr>
      <w:tr w:rsidR="00BC5CDF" w:rsidRPr="00FC7047" w14:paraId="18344397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E8AE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Assesses suitability for spectacles and/or contact lenses and prescribes</w:t>
            </w:r>
          </w:p>
        </w:tc>
      </w:tr>
      <w:tr w:rsidR="00BC5CDF" w:rsidRPr="00FC7047" w14:paraId="490EEBBD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AC62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3"/>
                <w:sz w:val="22"/>
                <w:szCs w:val="22"/>
              </w:rPr>
              <w:t>Prescribes therapeutic agents to manage ocular conditions</w:t>
            </w:r>
          </w:p>
        </w:tc>
      </w:tr>
      <w:tr w:rsidR="00BC5CDF" w:rsidRPr="00FC7047" w14:paraId="4D9B5F19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9E14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Manages patients requiring vision therapy</w:t>
            </w:r>
          </w:p>
        </w:tc>
      </w:tr>
      <w:tr w:rsidR="00BC5CDF" w:rsidRPr="00FC7047" w14:paraId="6DE7A762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2942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 xml:space="preserve">Refers patients appropriately </w:t>
            </w:r>
          </w:p>
        </w:tc>
      </w:tr>
      <w:tr w:rsidR="00BC5CDF" w:rsidRPr="00FC7047" w14:paraId="799DEB60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55B5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Provides advice on eye health and safety in the workplace</w:t>
            </w:r>
          </w:p>
        </w:tc>
      </w:tr>
      <w:tr w:rsidR="00BC5CDF" w:rsidRPr="00FC7047" w14:paraId="6A2EEDAB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3A5BADFF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Health Information Management</w:t>
            </w:r>
            <w:r w:rsidRPr="00FC7047">
              <w:rPr>
                <w:rFonts w:ascii="Calibri" w:hAnsi="Calibri" w:cs="Arial"/>
                <w:b/>
                <w:bCs/>
                <w:spacing w:val="-3"/>
                <w:sz w:val="22"/>
                <w:szCs w:val="22"/>
              </w:rPr>
              <w:t>:</w:t>
            </w:r>
          </w:p>
        </w:tc>
      </w:tr>
      <w:tr w:rsidR="00BC5CDF" w:rsidRPr="00FC7047" w14:paraId="0A76198B" w14:textId="77777777" w:rsidTr="00B02083">
        <w:trPr>
          <w:trHeight w:hRule="exact" w:val="350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B7C0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Records patient information accurately and stores securely</w:t>
            </w:r>
          </w:p>
        </w:tc>
      </w:tr>
      <w:tr w:rsidR="00BC5CDF" w:rsidRPr="00FC7047" w14:paraId="00001DF8" w14:textId="77777777" w:rsidTr="00B02083">
        <w:trPr>
          <w:trHeight w:hRule="exact" w:val="353"/>
        </w:trPr>
        <w:tc>
          <w:tcPr>
            <w:tcW w:w="9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A656" w14:textId="77777777" w:rsidR="00BC5CDF" w:rsidRPr="00FC7047" w:rsidRDefault="00BC5CDF" w:rsidP="00B02083">
            <w:pPr>
              <w:pStyle w:val="TableParagraph"/>
              <w:kinsoku w:val="0"/>
              <w:overflowPunct w:val="0"/>
              <w:spacing w:line="247" w:lineRule="exact"/>
              <w:ind w:left="416"/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</w:rPr>
              <w:t>Maintains confidentiality of patient records</w:t>
            </w:r>
          </w:p>
        </w:tc>
      </w:tr>
    </w:tbl>
    <w:p w14:paraId="1F8A55CA" w14:textId="77777777" w:rsidR="00BC5CDF" w:rsidRDefault="00BC5CDF" w:rsidP="00BC5CDF"/>
    <w:p w14:paraId="1909DDAF" w14:textId="77777777" w:rsidR="003F24D9" w:rsidRDefault="003F24D9"/>
    <w:sectPr w:rsidR="003F24D9">
      <w:footerReference w:type="default" r:id="rId6"/>
      <w:pgSz w:w="11900" w:h="16860"/>
      <w:pgMar w:top="1040" w:right="940" w:bottom="1180" w:left="960" w:header="0" w:footer="1000" w:gutter="0"/>
      <w:cols w:space="720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BF94" w14:textId="77777777" w:rsidR="00BC5CDF" w:rsidRDefault="00BC5CDF" w:rsidP="00BC5CDF">
      <w:r>
        <w:separator/>
      </w:r>
    </w:p>
  </w:endnote>
  <w:endnote w:type="continuationSeparator" w:id="0">
    <w:p w14:paraId="49B86ABF" w14:textId="77777777" w:rsidR="00BC5CDF" w:rsidRDefault="00BC5CDF" w:rsidP="00BC5CDF">
      <w:r>
        <w:continuationSeparator/>
      </w:r>
    </w:p>
  </w:endnote>
  <w:endnote w:id="1">
    <w:p w14:paraId="501AE6DC" w14:textId="77777777" w:rsidR="00BC5CDF" w:rsidRDefault="00BC5CDF" w:rsidP="00BC5CDF">
      <w:pPr>
        <w:pStyle w:val="EndnoteText"/>
      </w:pPr>
      <w:r>
        <w:rPr>
          <w:rStyle w:val="EndnoteReference"/>
        </w:rPr>
        <w:endnoteRef/>
      </w:r>
      <w:r>
        <w:t xml:space="preserve"> Adapted from the Entry-Level Competency Standards for Optometry 2014 (Optometry Australia)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3DB2" w14:textId="77777777" w:rsidR="00BC5CDF" w:rsidRPr="0041611B" w:rsidRDefault="00BC5CDF">
    <w:pPr>
      <w:kinsoku w:val="0"/>
      <w:overflowPunct w:val="0"/>
      <w:spacing w:line="14" w:lineRule="auto"/>
      <w:rPr>
        <w:rFonts w:ascii="Calibri" w:hAnsi="Calibri"/>
        <w:sz w:val="20"/>
        <w:szCs w:val="20"/>
      </w:rPr>
    </w:pPr>
    <w:r w:rsidRPr="0041611B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16D797" wp14:editId="05597B8C">
              <wp:simplePos x="0" y="0"/>
              <wp:positionH relativeFrom="page">
                <wp:posOffset>629920</wp:posOffset>
              </wp:positionH>
              <wp:positionV relativeFrom="page">
                <wp:posOffset>9984105</wp:posOffset>
              </wp:positionV>
              <wp:extent cx="3432810" cy="2940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5817" w14:textId="77777777" w:rsidR="00BC5CDF" w:rsidRDefault="00BC5CDF">
                          <w:pPr>
                            <w:kinsoku w:val="0"/>
                            <w:overflowPunct w:val="0"/>
                            <w:spacing w:before="2" w:line="224" w:lineRule="exact"/>
                            <w:ind w:left="20" w:right="20" w:hanging="1"/>
                            <w:rPr>
                              <w:rFonts w:ascii="Arial" w:hAnsi="Arial" w:cs="Arial"/>
                              <w:spacing w:val="37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Supervisor</w:t>
                          </w:r>
                          <w:r>
                            <w:rPr>
                              <w:rFonts w:ascii="Arial" w:hAnsi="Arial" w:cs="Arial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Practice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Accreditation</w:t>
                          </w:r>
                          <w:r>
                            <w:rPr>
                              <w:rFonts w:ascii="Arial" w:hAnsi="Arial" w:cs="Arial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v.</w:t>
                          </w:r>
                          <w:r>
                            <w:rPr>
                              <w:rFonts w:ascii="Arial" w:hAnsi="Arial" w:cs="Arial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Application</w:t>
                          </w:r>
                          <w:r>
                            <w:rPr>
                              <w:rFonts w:ascii="Arial" w:hAnsi="Arial" w:cs="Arial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Form February 2019</w:t>
                          </w:r>
                        </w:p>
                        <w:p w14:paraId="43C75308" w14:textId="77777777" w:rsidR="00BC5CDF" w:rsidRDefault="00BC5CDF">
                          <w:pPr>
                            <w:kinsoku w:val="0"/>
                            <w:overflowPunct w:val="0"/>
                            <w:spacing w:before="2" w:line="224" w:lineRule="exact"/>
                            <w:ind w:left="20" w:right="20" w:hanging="1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611B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April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D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6pt;margin-top:786.15pt;width:270.3pt;height:2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" o:allowincell="f" filled="f" stroked="f">
              <v:textbox inset="0,0,0,0">
                <w:txbxContent>
                  <w:p w14:paraId="63335817" w14:textId="77777777" w:rsidR="00BC5CDF" w:rsidRDefault="00BC5CDF">
                    <w:pPr>
                      <w:kinsoku w:val="0"/>
                      <w:overflowPunct w:val="0"/>
                      <w:spacing w:before="2" w:line="224" w:lineRule="exact"/>
                      <w:ind w:left="20" w:right="20" w:hanging="1"/>
                      <w:rPr>
                        <w:rFonts w:ascii="Arial" w:hAnsi="Arial" w:cs="Arial"/>
                        <w:spacing w:val="37"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Supervisor</w:t>
                    </w:r>
                    <w:r>
                      <w:rPr>
                        <w:rFonts w:ascii="Arial" w:hAnsi="Arial" w:cs="Arial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hAnsi="Arial" w:cs="Arial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Practice</w:t>
                    </w:r>
                    <w:r>
                      <w:rPr>
                        <w:rFonts w:ascii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Accreditation</w:t>
                    </w:r>
                    <w:r>
                      <w:rPr>
                        <w:rFonts w:ascii="Arial" w:hAnsi="Arial" w:cs="Arial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v.</w:t>
                    </w:r>
                    <w:r>
                      <w:rPr>
                        <w:rFonts w:ascii="Arial" w:hAnsi="Arial" w:cs="Arial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Application</w:t>
                    </w:r>
                    <w:r>
                      <w:rPr>
                        <w:rFonts w:ascii="Arial" w:hAnsi="Arial" w:cs="Arial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Form February 2019</w:t>
                    </w:r>
                  </w:p>
                  <w:p w14:paraId="43C75308" w14:textId="77777777" w:rsidR="00BC5CDF" w:rsidRDefault="00BC5CDF">
                    <w:pPr>
                      <w:kinsoku w:val="0"/>
                      <w:overflowPunct w:val="0"/>
                      <w:spacing w:before="2" w:line="224" w:lineRule="exact"/>
                      <w:ind w:left="20" w:right="20" w:hanging="1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1611B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April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1611B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E56C78" wp14:editId="007F23CB">
              <wp:simplePos x="0" y="0"/>
              <wp:positionH relativeFrom="page">
                <wp:posOffset>6718300</wp:posOffset>
              </wp:positionH>
              <wp:positionV relativeFrom="page">
                <wp:posOffset>9912985</wp:posOffset>
              </wp:positionV>
              <wp:extent cx="1911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5E87B" w14:textId="77777777" w:rsidR="00BC5CDF" w:rsidRDefault="00BC5CDF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56C78" id="Text Box 1" o:spid="_x0000_s1027" type="#_x0000_t202" style="position:absolute;margin-left:529pt;margin-top:780.5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" o:allowincell="f" filled="f" stroked="f">
              <v:textbox inset="0,0,0,0">
                <w:txbxContent>
                  <w:p w14:paraId="5065E87B" w14:textId="77777777" w:rsidR="00BC5CDF" w:rsidRDefault="00BC5CDF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285F" w14:textId="77777777" w:rsidR="00BC5CDF" w:rsidRDefault="00BC5CDF" w:rsidP="00BC5CDF">
      <w:r>
        <w:separator/>
      </w:r>
    </w:p>
  </w:footnote>
  <w:footnote w:type="continuationSeparator" w:id="0">
    <w:p w14:paraId="13D95E37" w14:textId="77777777" w:rsidR="00BC5CDF" w:rsidRDefault="00BC5CDF" w:rsidP="00BC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DF"/>
    <w:rsid w:val="003F24D9"/>
    <w:rsid w:val="00B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795B"/>
  <w15:chartTrackingRefBased/>
  <w15:docId w15:val="{798F9843-85E9-4117-AD83-A7A1C244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5CDF"/>
    <w:pPr>
      <w:ind w:left="117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5CDF"/>
    <w:rPr>
      <w:rFonts w:ascii="Arial" w:eastAsiaTheme="minorEastAsia" w:hAnsi="Arial" w:cs="Arial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BC5CDF"/>
    <w:pPr>
      <w:ind w:left="54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C5CDF"/>
    <w:rPr>
      <w:rFonts w:ascii="Arial" w:eastAsiaTheme="minorEastAsia" w:hAnsi="Arial" w:cs="Aria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BC5CDF"/>
  </w:style>
  <w:style w:type="table" w:styleId="TableGrid">
    <w:name w:val="Table Grid"/>
    <w:basedOn w:val="TableNormal"/>
    <w:uiPriority w:val="39"/>
    <w:rsid w:val="00BC5CD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C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DF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DF"/>
    <w:rPr>
      <w:rFonts w:ascii="Times New Roman" w:eastAsiaTheme="minorEastAsia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BC5C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DF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Letson</dc:creator>
  <cp:keywords/>
  <dc:description/>
  <cp:lastModifiedBy>Ben Letson</cp:lastModifiedBy>
  <cp:revision>1</cp:revision>
  <dcterms:created xsi:type="dcterms:W3CDTF">2019-03-28T04:16:00Z</dcterms:created>
  <dcterms:modified xsi:type="dcterms:W3CDTF">2019-03-28T04:17:00Z</dcterms:modified>
</cp:coreProperties>
</file>