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31" w:rsidRPr="00EA283C" w:rsidRDefault="009D4031" w:rsidP="009D4031">
      <w:pPr>
        <w:keepLines/>
        <w:spacing w:before="40" w:after="120" w:line="280" w:lineRule="atLeast"/>
        <w:ind w:left="414" w:firstLine="720"/>
        <w:jc w:val="center"/>
        <w:rPr>
          <w:rFonts w:eastAsiaTheme="minorEastAsia" w:cstheme="minorHAnsi"/>
          <w:b/>
          <w:color w:val="002060"/>
          <w:sz w:val="44"/>
          <w:szCs w:val="44"/>
          <w:u w:color="000000"/>
          <w:lang w:val="en-US"/>
        </w:rPr>
      </w:pPr>
      <w:bookmarkStart w:id="0" w:name="_GoBack"/>
      <w:bookmarkEnd w:id="0"/>
      <w:r w:rsidRPr="00EA283C">
        <w:rPr>
          <w:rFonts w:eastAsiaTheme="majorEastAsia" w:cstheme="minorHAnsi"/>
          <w:b/>
          <w:bCs/>
          <w:color w:val="002060"/>
          <w:spacing w:val="20"/>
          <w:sz w:val="44"/>
          <w:szCs w:val="44"/>
          <w:u w:color="000000"/>
        </w:rPr>
        <w:t>DEAKIN UNIVERSITY</w:t>
      </w:r>
    </w:p>
    <w:p w:rsidR="009D4031" w:rsidRPr="00EA283C" w:rsidRDefault="009D4031" w:rsidP="009D4031">
      <w:pPr>
        <w:keepLines/>
        <w:spacing w:before="40" w:after="120" w:line="280" w:lineRule="atLeast"/>
        <w:ind w:left="414" w:firstLine="720"/>
        <w:jc w:val="center"/>
        <w:rPr>
          <w:rFonts w:eastAsiaTheme="minorEastAsia" w:cstheme="minorHAnsi"/>
          <w:b/>
          <w:color w:val="002060"/>
          <w:sz w:val="40"/>
          <w:szCs w:val="40"/>
          <w:u w:color="000000"/>
          <w:lang w:val="en-US"/>
        </w:rPr>
      </w:pPr>
      <w:r w:rsidRPr="00EA283C">
        <w:rPr>
          <w:rFonts w:eastAsiaTheme="majorEastAsia" w:cstheme="minorHAnsi"/>
          <w:b/>
          <w:bCs/>
          <w:color w:val="002060"/>
          <w:spacing w:val="20"/>
          <w:sz w:val="40"/>
          <w:szCs w:val="40"/>
          <w:u w:color="000000"/>
        </w:rPr>
        <w:t>SCH</w:t>
      </w:r>
      <w:r>
        <w:rPr>
          <w:rFonts w:eastAsiaTheme="majorEastAsia" w:cstheme="minorHAnsi"/>
          <w:b/>
          <w:bCs/>
          <w:color w:val="002060"/>
          <w:spacing w:val="20"/>
          <w:sz w:val="40"/>
          <w:szCs w:val="40"/>
          <w:u w:color="000000"/>
        </w:rPr>
        <w:t xml:space="preserve">OOL OF LAW RESEARCH REPORT No </w:t>
      </w:r>
      <w:r w:rsidR="000B0E81">
        <w:rPr>
          <w:rFonts w:eastAsiaTheme="majorEastAsia" w:cstheme="minorHAnsi"/>
          <w:b/>
          <w:bCs/>
          <w:color w:val="002060"/>
          <w:spacing w:val="20"/>
          <w:sz w:val="40"/>
          <w:szCs w:val="40"/>
          <w:u w:color="000000"/>
        </w:rPr>
        <w:t>2</w:t>
      </w:r>
    </w:p>
    <w:p w:rsidR="009D4031" w:rsidRPr="00EA283C" w:rsidRDefault="000B0E81" w:rsidP="009D4031">
      <w:pPr>
        <w:keepLines/>
        <w:spacing w:before="40" w:after="120" w:line="280" w:lineRule="atLeast"/>
        <w:ind w:left="414" w:firstLine="720"/>
        <w:jc w:val="center"/>
        <w:rPr>
          <w:rFonts w:eastAsiaTheme="majorEastAsia" w:cstheme="minorHAnsi"/>
          <w:b/>
          <w:bCs/>
          <w:color w:val="002060"/>
          <w:spacing w:val="20"/>
          <w:sz w:val="32"/>
          <w:szCs w:val="28"/>
          <w:u w:color="000000"/>
        </w:rPr>
      </w:pPr>
      <w:r>
        <w:rPr>
          <w:rFonts w:eastAsiaTheme="majorEastAsia" w:cstheme="minorHAnsi"/>
          <w:b/>
          <w:bCs/>
          <w:color w:val="002060"/>
          <w:spacing w:val="20"/>
          <w:sz w:val="32"/>
          <w:szCs w:val="28"/>
          <w:u w:color="000000"/>
        </w:rPr>
        <w:t>31</w:t>
      </w:r>
      <w:r w:rsidR="009D4031" w:rsidRPr="00EA283C">
        <w:rPr>
          <w:rFonts w:eastAsiaTheme="majorEastAsia" w:cstheme="minorHAnsi"/>
          <w:b/>
          <w:bCs/>
          <w:color w:val="002060"/>
          <w:spacing w:val="20"/>
          <w:sz w:val="32"/>
          <w:szCs w:val="28"/>
          <w:u w:color="000000"/>
        </w:rPr>
        <w:t>/1/201</w:t>
      </w:r>
      <w:r w:rsidR="000D5514">
        <w:rPr>
          <w:rFonts w:eastAsiaTheme="majorEastAsia" w:cstheme="minorHAnsi"/>
          <w:b/>
          <w:bCs/>
          <w:color w:val="002060"/>
          <w:spacing w:val="20"/>
          <w:sz w:val="32"/>
          <w:szCs w:val="28"/>
          <w:u w:color="000000"/>
        </w:rPr>
        <w:t>4</w:t>
      </w:r>
    </w:p>
    <w:p w:rsidR="009D4031" w:rsidRDefault="009D4031" w:rsidP="009D4031">
      <w:pPr>
        <w:keepLines/>
        <w:spacing w:before="40" w:after="120" w:line="280" w:lineRule="atLeast"/>
        <w:ind w:left="414" w:firstLine="720"/>
        <w:jc w:val="center"/>
        <w:rPr>
          <w:rFonts w:eastAsiaTheme="majorEastAsia" w:cstheme="minorHAnsi"/>
          <w:b/>
          <w:bCs/>
          <w:color w:val="000000"/>
          <w:spacing w:val="20"/>
          <w:sz w:val="32"/>
          <w:szCs w:val="28"/>
          <w:u w:color="000000"/>
        </w:rPr>
      </w:pPr>
    </w:p>
    <w:p w:rsidR="009D4031" w:rsidRDefault="009D4031" w:rsidP="009D4031">
      <w:pPr>
        <w:keepLines/>
        <w:spacing w:before="40" w:after="120" w:line="280" w:lineRule="atLeast"/>
        <w:ind w:left="414" w:firstLine="720"/>
        <w:jc w:val="center"/>
        <w:rPr>
          <w:rFonts w:eastAsiaTheme="minorEastAsia" w:cstheme="minorHAnsi"/>
          <w:b/>
          <w:color w:val="C00000"/>
          <w:sz w:val="28"/>
          <w:szCs w:val="28"/>
          <w:u w:color="000000"/>
          <w:lang w:val="en-US"/>
        </w:rPr>
      </w:pPr>
      <w:r w:rsidRPr="00073F83">
        <w:rPr>
          <w:rFonts w:eastAsiaTheme="minorEastAsia" w:cstheme="minorHAnsi"/>
          <w:b/>
          <w:color w:val="C00000"/>
          <w:sz w:val="28"/>
          <w:szCs w:val="28"/>
          <w:u w:color="000000"/>
          <w:lang w:val="en-US"/>
        </w:rPr>
        <w:t>RECENT PUBLICATIONS</w:t>
      </w:r>
    </w:p>
    <w:p w:rsidR="009D4031" w:rsidRPr="00CC7326" w:rsidRDefault="009D4031" w:rsidP="009D4031">
      <w:pPr>
        <w:keepLines/>
        <w:spacing w:before="40" w:after="120" w:line="280" w:lineRule="atLeast"/>
        <w:ind w:left="414" w:firstLine="720"/>
        <w:rPr>
          <w:rFonts w:eastAsiaTheme="minorEastAsia" w:cstheme="minorHAnsi"/>
          <w:b/>
          <w:color w:val="7030A0"/>
          <w:sz w:val="28"/>
          <w:szCs w:val="28"/>
          <w:u w:color="000000"/>
          <w:lang w:val="en-US"/>
        </w:rPr>
      </w:pPr>
      <w:r w:rsidRPr="00CC7326">
        <w:rPr>
          <w:rFonts w:eastAsiaTheme="minorEastAsia" w:cstheme="minorHAnsi"/>
          <w:b/>
          <w:color w:val="7030A0"/>
          <w:sz w:val="28"/>
          <w:szCs w:val="28"/>
          <w:u w:color="000000"/>
          <w:lang w:val="en-US"/>
        </w:rPr>
        <w:t>Congratulations to the author</w:t>
      </w:r>
      <w:r w:rsidR="00322872" w:rsidRPr="00CC7326">
        <w:rPr>
          <w:rFonts w:eastAsiaTheme="minorEastAsia" w:cstheme="minorHAnsi"/>
          <w:b/>
          <w:color w:val="7030A0"/>
          <w:sz w:val="28"/>
          <w:szCs w:val="28"/>
          <w:u w:color="000000"/>
          <w:lang w:val="en-US"/>
        </w:rPr>
        <w:t>s</w:t>
      </w:r>
      <w:r w:rsidRPr="00CC7326">
        <w:rPr>
          <w:rFonts w:eastAsiaTheme="minorEastAsia" w:cstheme="minorHAnsi"/>
          <w:b/>
          <w:color w:val="7030A0"/>
          <w:sz w:val="28"/>
          <w:szCs w:val="28"/>
          <w:u w:color="000000"/>
          <w:lang w:val="en-US"/>
        </w:rPr>
        <w:t xml:space="preserve"> of the following recent publication:</w:t>
      </w:r>
    </w:p>
    <w:p w:rsidR="00CC7326" w:rsidRPr="00CC7326" w:rsidRDefault="00322872" w:rsidP="00CC7326">
      <w:pPr>
        <w:keepLines/>
        <w:spacing w:before="40" w:after="120" w:line="280" w:lineRule="atLeast"/>
        <w:ind w:left="414" w:firstLine="720"/>
        <w:rPr>
          <w:rFonts w:eastAsiaTheme="minorEastAsia" w:cstheme="minorHAnsi"/>
          <w:color w:val="1F497D" w:themeColor="text2"/>
          <w:sz w:val="24"/>
          <w:szCs w:val="24"/>
          <w:u w:color="000000"/>
          <w:lang w:val="en-US"/>
        </w:rPr>
      </w:pPr>
      <w:r w:rsidRPr="00CC7326">
        <w:rPr>
          <w:rFonts w:cstheme="minorHAnsi"/>
          <w:b/>
          <w:color w:val="C00000"/>
          <w:sz w:val="24"/>
          <w:szCs w:val="24"/>
        </w:rPr>
        <w:t>Jason Taliadoros</w:t>
      </w:r>
      <w:r w:rsidRPr="00CC7326">
        <w:rPr>
          <w:rFonts w:cstheme="minorHAnsi"/>
          <w:color w:val="002060"/>
          <w:sz w:val="24"/>
          <w:szCs w:val="24"/>
        </w:rPr>
        <w:t xml:space="preserve">, </w:t>
      </w:r>
      <w:r w:rsidR="00C9656A" w:rsidRPr="00CC7326">
        <w:rPr>
          <w:rFonts w:cstheme="minorHAnsi"/>
          <w:color w:val="002060"/>
          <w:sz w:val="24"/>
          <w:szCs w:val="24"/>
        </w:rPr>
        <w:t xml:space="preserve">‘Law, Theology, and Morality: Conceptions of the Rights to Relief of the Poor in the Twelfth and Thirteenth Centuries’, </w:t>
      </w:r>
      <w:r w:rsidR="00C9656A" w:rsidRPr="00CC7326">
        <w:rPr>
          <w:rFonts w:cstheme="minorHAnsi"/>
          <w:i/>
          <w:iCs/>
          <w:color w:val="002060"/>
          <w:sz w:val="24"/>
          <w:szCs w:val="24"/>
        </w:rPr>
        <w:t>Journal of Religious History,</w:t>
      </w:r>
      <w:r w:rsidR="00C9656A" w:rsidRPr="00CC7326">
        <w:rPr>
          <w:rFonts w:cstheme="minorHAnsi"/>
          <w:color w:val="002060"/>
          <w:sz w:val="24"/>
          <w:szCs w:val="24"/>
        </w:rPr>
        <w:t xml:space="preserve"> 37.4 (2013) 474-493. </w:t>
      </w:r>
      <w:r w:rsidRPr="00CC7326">
        <w:rPr>
          <w:rFonts w:cstheme="minorHAnsi"/>
          <w:color w:val="002060"/>
          <w:sz w:val="24"/>
          <w:szCs w:val="24"/>
        </w:rPr>
        <w:t xml:space="preserve">[C1] </w:t>
      </w:r>
      <w:hyperlink r:id="rId8" w:history="1">
        <w:r w:rsidR="00C9656A" w:rsidRPr="00CC7326">
          <w:rPr>
            <w:rStyle w:val="Hyperlink"/>
            <w:rFonts w:cstheme="minorHAnsi"/>
            <w:sz w:val="24"/>
            <w:szCs w:val="24"/>
          </w:rPr>
          <w:t>http://onlinelibrary.wiley.com/doi/10.1111/jorh.2013.37.issue-4/issuetoc</w:t>
        </w:r>
      </w:hyperlink>
      <w:r w:rsidR="00C9656A" w:rsidRPr="00CC7326">
        <w:rPr>
          <w:rFonts w:cstheme="minorHAnsi"/>
          <w:sz w:val="24"/>
          <w:szCs w:val="24"/>
        </w:rPr>
        <w:t>.</w:t>
      </w:r>
      <w:r w:rsidRPr="00CC7326">
        <w:rPr>
          <w:rFonts w:eastAsiaTheme="minorEastAsia" w:cstheme="minorHAnsi"/>
          <w:color w:val="002060"/>
          <w:sz w:val="24"/>
          <w:szCs w:val="24"/>
          <w:lang w:val="en-US"/>
        </w:rPr>
        <w:t xml:space="preserve"> </w:t>
      </w:r>
    </w:p>
    <w:p w:rsidR="00CC7326" w:rsidRDefault="00CC7326" w:rsidP="00CC7326">
      <w:pPr>
        <w:keepLines/>
        <w:spacing w:before="40" w:after="120" w:line="280" w:lineRule="atLeast"/>
        <w:ind w:left="414" w:firstLine="720"/>
        <w:rPr>
          <w:rFonts w:eastAsiaTheme="minorEastAsia" w:cstheme="minorHAnsi"/>
          <w:color w:val="002060"/>
          <w:sz w:val="24"/>
          <w:szCs w:val="24"/>
          <w:u w:color="000000"/>
          <w:lang w:val="en-US"/>
        </w:rPr>
      </w:pPr>
      <w:r w:rsidRPr="00CC7326">
        <w:rPr>
          <w:rFonts w:cstheme="minorHAnsi"/>
          <w:b/>
          <w:color w:val="C00000"/>
          <w:sz w:val="24"/>
          <w:szCs w:val="24"/>
        </w:rPr>
        <w:t>Lidia Xynas</w:t>
      </w:r>
      <w:r w:rsidRPr="00CC7326">
        <w:rPr>
          <w:rFonts w:cstheme="minorHAnsi"/>
          <w:color w:val="000000"/>
          <w:sz w:val="24"/>
          <w:szCs w:val="24"/>
        </w:rPr>
        <w:t xml:space="preserve">, </w:t>
      </w:r>
      <w:r w:rsidRPr="00CC7326">
        <w:rPr>
          <w:rFonts w:cstheme="minorHAnsi"/>
          <w:color w:val="002060"/>
          <w:sz w:val="24"/>
          <w:szCs w:val="24"/>
        </w:rPr>
        <w:t xml:space="preserve">‘Entities’, in </w:t>
      </w:r>
      <w:r w:rsidRPr="00CC7326">
        <w:rPr>
          <w:rStyle w:val="Emphasis"/>
          <w:rFonts w:cstheme="minorHAnsi"/>
          <w:color w:val="002060"/>
          <w:sz w:val="24"/>
          <w:szCs w:val="24"/>
        </w:rPr>
        <w:t>Australian Tax 2013</w:t>
      </w:r>
      <w:r w:rsidRPr="00CC7326">
        <w:rPr>
          <w:rFonts w:cstheme="minorHAnsi"/>
          <w:color w:val="002060"/>
          <w:sz w:val="24"/>
          <w:szCs w:val="24"/>
        </w:rPr>
        <w:t>, (2013) LexisNexis, Chatswood, NSW pp. 454 - 493.</w:t>
      </w:r>
      <w:r w:rsidRPr="00CC7326">
        <w:rPr>
          <w:rFonts w:eastAsiaTheme="minorEastAsia" w:cstheme="minorHAnsi"/>
          <w:color w:val="002060"/>
          <w:sz w:val="24"/>
          <w:szCs w:val="24"/>
          <w:u w:color="000000"/>
          <w:lang w:val="en-US"/>
        </w:rPr>
        <w:t xml:space="preserve"> </w:t>
      </w:r>
    </w:p>
    <w:p w:rsidR="00031B97" w:rsidRPr="00031B97" w:rsidRDefault="00031B97" w:rsidP="00031B97">
      <w:pPr>
        <w:keepLines/>
        <w:spacing w:before="40" w:after="120" w:line="280" w:lineRule="atLeast"/>
        <w:ind w:left="414" w:firstLine="720"/>
        <w:jc w:val="center"/>
        <w:rPr>
          <w:rFonts w:eastAsiaTheme="minorEastAsia" w:cstheme="minorHAnsi"/>
          <w:color w:val="002060"/>
          <w:sz w:val="28"/>
          <w:szCs w:val="28"/>
          <w:u w:color="000000"/>
          <w:lang w:val="en-US"/>
        </w:rPr>
      </w:pPr>
      <w:r w:rsidRPr="00031B97">
        <w:rPr>
          <w:rFonts w:cstheme="minorHAnsi"/>
          <w:b/>
          <w:color w:val="C00000"/>
          <w:sz w:val="28"/>
          <w:szCs w:val="28"/>
        </w:rPr>
        <w:t>RESEARCH IMPACT</w:t>
      </w:r>
    </w:p>
    <w:p w:rsidR="000B0E81" w:rsidRPr="00031B97" w:rsidRDefault="00031B97" w:rsidP="000B0E81">
      <w:pPr>
        <w:rPr>
          <w:color w:val="002060"/>
          <w:sz w:val="24"/>
          <w:szCs w:val="24"/>
        </w:rPr>
      </w:pPr>
      <w:r w:rsidRPr="00031B97">
        <w:rPr>
          <w:b/>
          <w:color w:val="C00000"/>
          <w:sz w:val="24"/>
          <w:szCs w:val="24"/>
        </w:rPr>
        <w:t>Victoria Lambropoulos</w:t>
      </w:r>
      <w:r w:rsidRPr="00031B97">
        <w:rPr>
          <w:color w:val="C00000"/>
          <w:sz w:val="24"/>
          <w:szCs w:val="24"/>
        </w:rPr>
        <w:t xml:space="preserve"> </w:t>
      </w:r>
      <w:r w:rsidRPr="00031B97">
        <w:rPr>
          <w:color w:val="002060"/>
          <w:sz w:val="24"/>
          <w:szCs w:val="24"/>
        </w:rPr>
        <w:t xml:space="preserve">was cited in: </w:t>
      </w:r>
      <w:r w:rsidR="000B0E81" w:rsidRPr="00031B97">
        <w:rPr>
          <w:i/>
          <w:color w:val="002060"/>
          <w:sz w:val="24"/>
          <w:szCs w:val="24"/>
        </w:rPr>
        <w:t xml:space="preserve">Construction Forestry Mining and Energy Union v North </w:t>
      </w:r>
      <w:proofErr w:type="spellStart"/>
      <w:r w:rsidR="000B0E81" w:rsidRPr="00031B97">
        <w:rPr>
          <w:i/>
          <w:color w:val="002060"/>
          <w:sz w:val="24"/>
          <w:szCs w:val="24"/>
        </w:rPr>
        <w:t>Goonyella</w:t>
      </w:r>
      <w:proofErr w:type="spellEnd"/>
      <w:r w:rsidR="000B0E81" w:rsidRPr="00031B97">
        <w:rPr>
          <w:i/>
          <w:color w:val="002060"/>
          <w:sz w:val="24"/>
          <w:szCs w:val="24"/>
        </w:rPr>
        <w:t xml:space="preserve"> Coal Mine Pty Ltd</w:t>
      </w:r>
      <w:r w:rsidR="000B0E81" w:rsidRPr="00031B97">
        <w:rPr>
          <w:color w:val="002060"/>
          <w:sz w:val="24"/>
          <w:szCs w:val="24"/>
        </w:rPr>
        <w:t xml:space="preserve"> [2013] FCA 1444 </w:t>
      </w:r>
      <w:r w:rsidRPr="00031B97">
        <w:rPr>
          <w:color w:val="002060"/>
          <w:sz w:val="24"/>
          <w:szCs w:val="24"/>
        </w:rPr>
        <w:t xml:space="preserve">at [33]:  </w:t>
      </w:r>
      <w:r w:rsidR="000B0E81" w:rsidRPr="00031B97">
        <w:rPr>
          <w:color w:val="002060"/>
          <w:sz w:val="24"/>
          <w:szCs w:val="24"/>
        </w:rPr>
        <w:t xml:space="preserve"> </w:t>
      </w:r>
    </w:p>
    <w:p w:rsidR="00031B97" w:rsidRDefault="000B0E81" w:rsidP="00031B97">
      <w:pPr>
        <w:pStyle w:val="BodyText"/>
        <w:ind w:left="414"/>
        <w:rPr>
          <w:color w:val="002060"/>
          <w:sz w:val="24"/>
          <w:szCs w:val="24"/>
        </w:rPr>
      </w:pPr>
      <w:r w:rsidRPr="00031B97">
        <w:rPr>
          <w:color w:val="002060"/>
          <w:sz w:val="24"/>
          <w:szCs w:val="24"/>
        </w:rPr>
        <w:t xml:space="preserve">"A useful account of the evolving role of trade unions under the federal industrial relations system since the first statute, the Conciliation and Arbitration Act 1904 (Cth) through to the Fair Work Act and of a like role in the United Kingdom is to be found in an article by Victoria </w:t>
      </w:r>
      <w:proofErr w:type="gramStart"/>
      <w:r w:rsidRPr="00031B97">
        <w:rPr>
          <w:color w:val="002060"/>
          <w:sz w:val="24"/>
          <w:szCs w:val="24"/>
        </w:rPr>
        <w:t>Lambropoulos  and</w:t>
      </w:r>
      <w:proofErr w:type="gramEnd"/>
      <w:r w:rsidRPr="00031B97">
        <w:rPr>
          <w:color w:val="002060"/>
          <w:sz w:val="24"/>
          <w:szCs w:val="24"/>
        </w:rPr>
        <w:t xml:space="preserve"> Michael Wynn, “Unfair Labour Practices, Trade Union Victimisation and Voice: A Comparison of Australia and the United Kingdom” (2013) </w:t>
      </w:r>
      <w:proofErr w:type="spellStart"/>
      <w:r w:rsidRPr="00031B97">
        <w:rPr>
          <w:color w:val="002060"/>
          <w:sz w:val="24"/>
          <w:szCs w:val="24"/>
        </w:rPr>
        <w:t>Vol</w:t>
      </w:r>
      <w:proofErr w:type="spellEnd"/>
      <w:r w:rsidRPr="00031B97">
        <w:rPr>
          <w:color w:val="002060"/>
          <w:sz w:val="24"/>
          <w:szCs w:val="24"/>
        </w:rPr>
        <w:t xml:space="preserve"> 34 </w:t>
      </w:r>
      <w:r w:rsidRPr="00031B97">
        <w:rPr>
          <w:i/>
          <w:color w:val="002060"/>
          <w:sz w:val="24"/>
          <w:szCs w:val="24"/>
        </w:rPr>
        <w:t>Adelaide Law Review</w:t>
      </w:r>
      <w:r w:rsidRPr="00031B97">
        <w:rPr>
          <w:color w:val="002060"/>
          <w:sz w:val="24"/>
          <w:szCs w:val="24"/>
        </w:rPr>
        <w:t xml:space="preserve"> 43." </w:t>
      </w:r>
    </w:p>
    <w:p w:rsidR="00074A41" w:rsidRDefault="00074A41" w:rsidP="00031B97">
      <w:pPr>
        <w:pStyle w:val="BodyText"/>
        <w:ind w:left="414"/>
        <w:rPr>
          <w:color w:val="002060"/>
          <w:sz w:val="24"/>
          <w:szCs w:val="24"/>
        </w:rPr>
      </w:pPr>
      <w:r w:rsidRPr="00074A41">
        <w:rPr>
          <w:color w:val="002060"/>
          <w:sz w:val="24"/>
          <w:szCs w:val="24"/>
        </w:rPr>
        <w:t>Congratulations to</w:t>
      </w:r>
      <w:r w:rsidRPr="00074A41">
        <w:rPr>
          <w:b/>
          <w:color w:val="002060"/>
          <w:sz w:val="24"/>
          <w:szCs w:val="24"/>
        </w:rPr>
        <w:t xml:space="preserve"> </w:t>
      </w:r>
      <w:r w:rsidRPr="00074A41">
        <w:rPr>
          <w:b/>
          <w:color w:val="C00000"/>
          <w:sz w:val="24"/>
          <w:szCs w:val="24"/>
        </w:rPr>
        <w:t>Elizabeth Adeney &amp; Claudio Bozzi</w:t>
      </w:r>
      <w:r>
        <w:rPr>
          <w:b/>
          <w:color w:val="C00000"/>
          <w:sz w:val="24"/>
          <w:szCs w:val="24"/>
        </w:rPr>
        <w:t xml:space="preserve">, </w:t>
      </w:r>
      <w:r w:rsidRPr="00074A41">
        <w:rPr>
          <w:color w:val="002060"/>
          <w:sz w:val="24"/>
          <w:szCs w:val="24"/>
        </w:rPr>
        <w:t xml:space="preserve">the editors of the </w:t>
      </w:r>
      <w:r w:rsidRPr="00074A41">
        <w:rPr>
          <w:i/>
          <w:color w:val="002060"/>
          <w:sz w:val="24"/>
          <w:szCs w:val="24"/>
        </w:rPr>
        <w:t>Deakin Law Review</w:t>
      </w:r>
      <w:r>
        <w:rPr>
          <w:color w:val="002060"/>
          <w:sz w:val="24"/>
          <w:szCs w:val="24"/>
        </w:rPr>
        <w:t>,</w:t>
      </w:r>
      <w:r w:rsidRPr="00074A41">
        <w:rPr>
          <w:color w:val="002060"/>
          <w:sz w:val="24"/>
          <w:szCs w:val="24"/>
        </w:rPr>
        <w:t xml:space="preserve"> </w:t>
      </w:r>
      <w:r>
        <w:rPr>
          <w:color w:val="002060"/>
          <w:sz w:val="24"/>
          <w:szCs w:val="24"/>
        </w:rPr>
        <w:t>on the 18</w:t>
      </w:r>
      <w:r w:rsidRPr="00074A41">
        <w:rPr>
          <w:color w:val="002060"/>
          <w:sz w:val="24"/>
          <w:szCs w:val="24"/>
          <w:vertAlign w:val="superscript"/>
        </w:rPr>
        <w:t>th</w:t>
      </w:r>
      <w:r>
        <w:rPr>
          <w:color w:val="002060"/>
          <w:sz w:val="24"/>
          <w:szCs w:val="24"/>
        </w:rPr>
        <w:t xml:space="preserve"> Volume (Issue 2) of this excellent publication! Articles are available on the DLR website.</w:t>
      </w:r>
    </w:p>
    <w:p w:rsidR="00074A41" w:rsidRDefault="00074A41" w:rsidP="00541936">
      <w:pPr>
        <w:keepLines/>
        <w:spacing w:before="40" w:after="120" w:line="280" w:lineRule="atLeast"/>
        <w:ind w:left="414" w:firstLine="720"/>
        <w:jc w:val="center"/>
        <w:rPr>
          <w:rFonts w:eastAsiaTheme="minorEastAsia" w:cstheme="minorHAnsi"/>
          <w:b/>
          <w:color w:val="C00000"/>
          <w:sz w:val="28"/>
          <w:szCs w:val="28"/>
          <w:u w:color="000000"/>
          <w:lang w:val="en-US"/>
        </w:rPr>
      </w:pPr>
    </w:p>
    <w:p w:rsidR="00541936" w:rsidRDefault="00541936" w:rsidP="00541936">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CHANGES TO THE DEST POINT AMOUNTS FOR 2013 PUBLICATIONS</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Pr>
          <w:rFonts w:eastAsiaTheme="minorEastAsia" w:cstheme="minorHAnsi"/>
          <w:color w:val="1F497D" w:themeColor="text2"/>
          <w:u w:color="000000"/>
          <w:lang w:val="en-US"/>
        </w:rPr>
        <w:t>In 2014, e</w:t>
      </w:r>
      <w:r w:rsidRPr="00541936">
        <w:rPr>
          <w:rFonts w:eastAsiaTheme="minorEastAsia" w:cstheme="minorHAnsi"/>
          <w:color w:val="1F497D" w:themeColor="text2"/>
          <w:u w:color="000000"/>
          <w:lang w:val="en-US"/>
        </w:rPr>
        <w:t>ach DEST point will attract $</w:t>
      </w:r>
      <w:r>
        <w:rPr>
          <w:rFonts w:eastAsiaTheme="minorEastAsia" w:cstheme="minorHAnsi"/>
          <w:color w:val="1F497D" w:themeColor="text2"/>
          <w:u w:color="000000"/>
          <w:lang w:val="en-US"/>
        </w:rPr>
        <w:t>1500 ($700 more than in 2013</w:t>
      </w:r>
      <w:r w:rsidRPr="00541936">
        <w:rPr>
          <w:rFonts w:eastAsiaTheme="minorEastAsia" w:cstheme="minorHAnsi"/>
          <w:color w:val="1F497D" w:themeColor="text2"/>
          <w:u w:color="000000"/>
          <w:lang w:val="en-US"/>
        </w:rPr>
        <w:t>)</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w:t>
      </w:r>
      <w:r w:rsidRPr="00541936">
        <w:rPr>
          <w:rFonts w:eastAsiaTheme="minorEastAsia" w:cstheme="minorHAnsi"/>
          <w:color w:val="1F497D" w:themeColor="text2"/>
          <w:u w:color="000000"/>
          <w:lang w:val="en-US"/>
        </w:rPr>
        <w:tab/>
        <w:t xml:space="preserve">Each HERDC article will attract </w:t>
      </w:r>
      <w:r w:rsidRPr="00541936">
        <w:rPr>
          <w:rFonts w:eastAsiaTheme="minorEastAsia" w:cstheme="minorHAnsi"/>
          <w:b/>
          <w:color w:val="1F497D" w:themeColor="text2"/>
          <w:u w:color="000000"/>
          <w:lang w:val="en-US"/>
        </w:rPr>
        <w:t>one</w:t>
      </w:r>
      <w:r w:rsidRPr="00541936">
        <w:rPr>
          <w:rFonts w:eastAsiaTheme="minorEastAsia" w:cstheme="minorHAnsi"/>
          <w:color w:val="1F497D" w:themeColor="text2"/>
          <w:u w:color="000000"/>
          <w:lang w:val="en-US"/>
        </w:rPr>
        <w:t xml:space="preserve"> DEST point ($</w:t>
      </w:r>
      <w:r>
        <w:rPr>
          <w:rFonts w:eastAsiaTheme="minorEastAsia" w:cstheme="minorHAnsi"/>
          <w:color w:val="1F497D" w:themeColor="text2"/>
          <w:u w:color="000000"/>
          <w:lang w:val="en-US"/>
        </w:rPr>
        <w:t>1500</w:t>
      </w:r>
      <w:r w:rsidRPr="00541936">
        <w:rPr>
          <w:rFonts w:eastAsiaTheme="minorEastAsia" w:cstheme="minorHAnsi"/>
          <w:color w:val="1F497D" w:themeColor="text2"/>
          <w:u w:color="000000"/>
          <w:lang w:val="en-US"/>
        </w:rPr>
        <w:t>)</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lastRenderedPageBreak/>
        <w:t>•</w:t>
      </w:r>
      <w:r w:rsidRPr="00541936">
        <w:rPr>
          <w:rFonts w:eastAsiaTheme="minorEastAsia" w:cstheme="minorHAnsi"/>
          <w:color w:val="1F497D" w:themeColor="text2"/>
          <w:u w:color="000000"/>
          <w:lang w:val="en-US"/>
        </w:rPr>
        <w:tab/>
        <w:t xml:space="preserve">Each HERDC book will attract </w:t>
      </w:r>
      <w:r w:rsidRPr="00541936">
        <w:rPr>
          <w:rFonts w:eastAsiaTheme="minorEastAsia" w:cstheme="minorHAnsi"/>
          <w:b/>
          <w:color w:val="1F497D" w:themeColor="text2"/>
          <w:u w:color="000000"/>
          <w:lang w:val="en-US"/>
        </w:rPr>
        <w:t xml:space="preserve">five </w:t>
      </w:r>
      <w:r w:rsidRPr="00541936">
        <w:rPr>
          <w:rFonts w:eastAsiaTheme="minorEastAsia" w:cstheme="minorHAnsi"/>
          <w:color w:val="1F497D" w:themeColor="text2"/>
          <w:u w:color="000000"/>
          <w:lang w:val="en-US"/>
        </w:rPr>
        <w:t>DEST points ($</w:t>
      </w:r>
      <w:r>
        <w:rPr>
          <w:rFonts w:eastAsiaTheme="minorEastAsia" w:cstheme="minorHAnsi"/>
          <w:color w:val="1F497D" w:themeColor="text2"/>
          <w:u w:color="000000"/>
          <w:lang w:val="en-US"/>
        </w:rPr>
        <w:t>75</w:t>
      </w:r>
      <w:r w:rsidRPr="00541936">
        <w:rPr>
          <w:rFonts w:eastAsiaTheme="minorEastAsia" w:cstheme="minorHAnsi"/>
          <w:color w:val="1F497D" w:themeColor="text2"/>
          <w:u w:color="000000"/>
          <w:lang w:val="en-US"/>
        </w:rPr>
        <w:t>00)</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w:t>
      </w:r>
      <w:r w:rsidRPr="00541936">
        <w:rPr>
          <w:rFonts w:eastAsiaTheme="minorEastAsia" w:cstheme="minorHAnsi"/>
          <w:color w:val="1F497D" w:themeColor="text2"/>
          <w:u w:color="000000"/>
          <w:lang w:val="en-US"/>
        </w:rPr>
        <w:tab/>
        <w:t xml:space="preserve">Each revised edition of HERDC book will attract </w:t>
      </w:r>
      <w:r w:rsidRPr="00541936">
        <w:rPr>
          <w:rFonts w:eastAsiaTheme="minorEastAsia" w:cstheme="minorHAnsi"/>
          <w:b/>
          <w:color w:val="1F497D" w:themeColor="text2"/>
          <w:u w:color="000000"/>
          <w:lang w:val="en-US"/>
        </w:rPr>
        <w:t>two</w:t>
      </w:r>
      <w:r w:rsidRPr="00541936">
        <w:rPr>
          <w:rFonts w:eastAsiaTheme="minorEastAsia" w:cstheme="minorHAnsi"/>
          <w:color w:val="1F497D" w:themeColor="text2"/>
          <w:u w:color="000000"/>
          <w:lang w:val="en-US"/>
        </w:rPr>
        <w:t xml:space="preserve"> DEST points ($</w:t>
      </w:r>
      <w:r>
        <w:rPr>
          <w:rFonts w:eastAsiaTheme="minorEastAsia" w:cstheme="minorHAnsi"/>
          <w:color w:val="1F497D" w:themeColor="text2"/>
          <w:u w:color="000000"/>
          <w:lang w:val="en-US"/>
        </w:rPr>
        <w:t>3000</w:t>
      </w:r>
      <w:r w:rsidRPr="00541936">
        <w:rPr>
          <w:rFonts w:eastAsiaTheme="minorEastAsia" w:cstheme="minorHAnsi"/>
          <w:color w:val="1F497D" w:themeColor="text2"/>
          <w:u w:color="000000"/>
          <w:lang w:val="en-US"/>
        </w:rPr>
        <w:t>)</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w:t>
      </w:r>
      <w:r w:rsidRPr="00541936">
        <w:rPr>
          <w:rFonts w:eastAsiaTheme="minorEastAsia" w:cstheme="minorHAnsi"/>
          <w:color w:val="1F497D" w:themeColor="text2"/>
          <w:u w:color="000000"/>
          <w:lang w:val="en-US"/>
        </w:rPr>
        <w:tab/>
        <w:t xml:space="preserve">Co-authored works will attract </w:t>
      </w:r>
      <w:r w:rsidRPr="00541936">
        <w:rPr>
          <w:rFonts w:eastAsiaTheme="minorEastAsia" w:cstheme="minorHAnsi"/>
          <w:b/>
          <w:color w:val="1F497D" w:themeColor="text2"/>
          <w:u w:color="000000"/>
          <w:lang w:val="en-US"/>
        </w:rPr>
        <w:t>pro-rata</w:t>
      </w:r>
      <w:r w:rsidRPr="00541936">
        <w:rPr>
          <w:rFonts w:eastAsiaTheme="minorEastAsia" w:cstheme="minorHAnsi"/>
          <w:color w:val="1F497D" w:themeColor="text2"/>
          <w:u w:color="000000"/>
          <w:lang w:val="en-US"/>
        </w:rPr>
        <w:t xml:space="preserve"> DEST points: 1/2; 1/3, etc of the relevant category of publication</w:t>
      </w:r>
    </w:p>
    <w:p w:rsidR="00541936" w:rsidRP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Federal Government does not fund non-HERDC publications. Consequently, as a general rule, non-HERDC items posted on the DRO with the permission of the Head of School are un-funded and do not attract DEST points (HERDC classifications are Federal Government’s policy).</w:t>
      </w:r>
    </w:p>
    <w:p w:rsidR="00541936" w:rsidRDefault="00541936" w:rsidP="00541936">
      <w:pPr>
        <w:keepLines/>
        <w:spacing w:before="40" w:after="120" w:line="280" w:lineRule="atLeast"/>
        <w:ind w:left="414" w:firstLine="720"/>
        <w:rPr>
          <w:rFonts w:eastAsiaTheme="minorEastAsia" w:cstheme="minorHAnsi"/>
          <w:color w:val="1F497D" w:themeColor="text2"/>
          <w:u w:color="000000"/>
          <w:lang w:val="en-US"/>
        </w:rPr>
      </w:pPr>
      <w:r w:rsidRPr="00541936">
        <w:rPr>
          <w:rFonts w:eastAsiaTheme="minorEastAsia" w:cstheme="minorHAnsi"/>
          <w:color w:val="1F497D" w:themeColor="text2"/>
          <w:u w:color="000000"/>
          <w:lang w:val="en-US"/>
        </w:rPr>
        <w:t>NOTE: DEST point funds can be used to attend a conference irrespective of whether you will present a paper. They can be used for research assistance, and, with approval of the Head of School, for books.</w:t>
      </w:r>
    </w:p>
    <w:p w:rsidR="00031B97" w:rsidRDefault="00031B97" w:rsidP="00A916AB">
      <w:pPr>
        <w:keepLines/>
        <w:spacing w:before="40" w:after="120" w:line="280" w:lineRule="atLeast"/>
        <w:ind w:left="414" w:firstLine="720"/>
        <w:jc w:val="center"/>
        <w:rPr>
          <w:rFonts w:eastAsiaTheme="minorEastAsia" w:cstheme="minorHAnsi"/>
          <w:b/>
          <w:color w:val="C00000"/>
          <w:sz w:val="28"/>
          <w:szCs w:val="28"/>
          <w:u w:color="000000"/>
          <w:lang w:val="en-US"/>
        </w:rPr>
      </w:pPr>
    </w:p>
    <w:p w:rsidR="00A916AB" w:rsidRDefault="00A916AB" w:rsidP="00A916AB">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 xml:space="preserve">DEAKIN LAW SCHOOL </w:t>
      </w:r>
      <w:r w:rsidR="008A5A2F">
        <w:rPr>
          <w:rFonts w:eastAsiaTheme="minorEastAsia" w:cstheme="minorHAnsi"/>
          <w:b/>
          <w:color w:val="C00000"/>
          <w:sz w:val="28"/>
          <w:szCs w:val="28"/>
          <w:u w:color="000000"/>
          <w:lang w:val="en-US"/>
        </w:rPr>
        <w:t xml:space="preserve">RESEARCH </w:t>
      </w:r>
      <w:r>
        <w:rPr>
          <w:rFonts w:eastAsiaTheme="minorEastAsia" w:cstheme="minorHAnsi"/>
          <w:b/>
          <w:color w:val="C00000"/>
          <w:sz w:val="28"/>
          <w:szCs w:val="28"/>
          <w:u w:color="000000"/>
          <w:lang w:val="en-US"/>
        </w:rPr>
        <w:t>SEMINARS</w:t>
      </w:r>
    </w:p>
    <w:p w:rsidR="008A5A2F" w:rsidRPr="008A5A2F" w:rsidRDefault="008A5A2F" w:rsidP="008A5A2F">
      <w:pPr>
        <w:pStyle w:val="BodyText"/>
        <w:jc w:val="center"/>
        <w:rPr>
          <w:b/>
          <w:color w:val="7030A0"/>
          <w:sz w:val="32"/>
          <w:szCs w:val="32"/>
          <w:lang w:val="en-US"/>
        </w:rPr>
      </w:pPr>
      <w:r w:rsidRPr="008A5A2F">
        <w:rPr>
          <w:b/>
          <w:color w:val="7030A0"/>
          <w:sz w:val="32"/>
          <w:szCs w:val="32"/>
          <w:lang w:val="en-US"/>
        </w:rPr>
        <w:t>Please let me know if you would like to present a research seminar</w:t>
      </w:r>
      <w:r>
        <w:rPr>
          <w:b/>
          <w:color w:val="7030A0"/>
          <w:sz w:val="32"/>
          <w:szCs w:val="32"/>
          <w:lang w:val="en-US"/>
        </w:rPr>
        <w:t xml:space="preserve">: </w:t>
      </w:r>
      <w:r w:rsidRPr="008A5A2F">
        <w:rPr>
          <w:b/>
          <w:color w:val="7030A0"/>
          <w:sz w:val="32"/>
          <w:szCs w:val="32"/>
          <w:lang w:val="en-US"/>
        </w:rPr>
        <w:t>topic and date</w:t>
      </w:r>
    </w:p>
    <w:p w:rsidR="008A5A2F" w:rsidRPr="00366CEA" w:rsidRDefault="008A5A2F" w:rsidP="008A5A2F">
      <w:pPr>
        <w:pStyle w:val="BodyText"/>
        <w:jc w:val="center"/>
        <w:rPr>
          <w:color w:val="002060"/>
          <w:sz w:val="24"/>
          <w:szCs w:val="24"/>
          <w:lang w:val="en-US"/>
        </w:rPr>
      </w:pPr>
      <w:r w:rsidRPr="00366CEA">
        <w:rPr>
          <w:color w:val="002060"/>
          <w:sz w:val="24"/>
          <w:szCs w:val="24"/>
          <w:lang w:val="en-US"/>
        </w:rPr>
        <w:t xml:space="preserve">We </w:t>
      </w:r>
      <w:r w:rsidR="00917E47" w:rsidRPr="00366CEA">
        <w:rPr>
          <w:color w:val="002060"/>
          <w:sz w:val="24"/>
          <w:szCs w:val="24"/>
          <w:lang w:val="en-US"/>
        </w:rPr>
        <w:t xml:space="preserve">shall </w:t>
      </w:r>
      <w:r w:rsidRPr="00366CEA">
        <w:rPr>
          <w:color w:val="002060"/>
          <w:sz w:val="24"/>
          <w:szCs w:val="24"/>
          <w:lang w:val="en-US"/>
        </w:rPr>
        <w:t>revert to holding Research Seminars at noon, unless they clash with the School Management Committee meetings</w:t>
      </w:r>
    </w:p>
    <w:p w:rsidR="00A916AB" w:rsidRPr="00917E47" w:rsidRDefault="00A916AB" w:rsidP="00A916AB">
      <w:pPr>
        <w:pStyle w:val="BodyText"/>
        <w:rPr>
          <w:b/>
          <w:color w:val="7030A0"/>
          <w:sz w:val="24"/>
          <w:szCs w:val="24"/>
          <w:lang w:val="en-US"/>
        </w:rPr>
      </w:pPr>
      <w:r w:rsidRPr="00917E47">
        <w:rPr>
          <w:b/>
          <w:color w:val="7030A0"/>
          <w:sz w:val="24"/>
          <w:szCs w:val="24"/>
          <w:lang w:val="en-US"/>
        </w:rPr>
        <w:t>FRIDAY, 7 FEBRUARY 2014</w:t>
      </w:r>
    </w:p>
    <w:p w:rsidR="00A916AB" w:rsidRPr="00917E47" w:rsidRDefault="00A916AB" w:rsidP="00A916AB">
      <w:pPr>
        <w:pStyle w:val="BodyText"/>
        <w:rPr>
          <w:b/>
          <w:color w:val="C00000"/>
          <w:sz w:val="24"/>
          <w:szCs w:val="24"/>
          <w:lang w:val="en-US"/>
        </w:rPr>
      </w:pPr>
      <w:r w:rsidRPr="00917E47">
        <w:rPr>
          <w:b/>
          <w:color w:val="C00000"/>
          <w:sz w:val="24"/>
          <w:szCs w:val="24"/>
          <w:lang w:val="en-US"/>
        </w:rPr>
        <w:t>Vivek Chandra</w:t>
      </w:r>
    </w:p>
    <w:p w:rsidR="00A916AB" w:rsidRPr="00917E47" w:rsidRDefault="008A5A2F" w:rsidP="00A916AB">
      <w:pPr>
        <w:pStyle w:val="BodyText"/>
        <w:rPr>
          <w:b/>
          <w:color w:val="1F497D" w:themeColor="text2"/>
          <w:sz w:val="24"/>
          <w:szCs w:val="24"/>
          <w:lang w:val="en-US"/>
        </w:rPr>
      </w:pPr>
      <w:r w:rsidRPr="00917E47">
        <w:rPr>
          <w:b/>
          <w:color w:val="1F497D" w:themeColor="text2"/>
          <w:sz w:val="24"/>
          <w:szCs w:val="24"/>
          <w:lang w:val="en-US"/>
        </w:rPr>
        <w:t>On Liquefied Natural Gas</w:t>
      </w:r>
    </w:p>
    <w:p w:rsidR="008A5A2F" w:rsidRPr="00917E47" w:rsidRDefault="008A5A2F" w:rsidP="008A5A2F">
      <w:pPr>
        <w:pStyle w:val="BodyText"/>
        <w:rPr>
          <w:b/>
          <w:color w:val="7030A0"/>
          <w:sz w:val="24"/>
          <w:szCs w:val="24"/>
          <w:lang w:val="en-US"/>
        </w:rPr>
      </w:pPr>
      <w:r w:rsidRPr="00917E47">
        <w:rPr>
          <w:b/>
          <w:color w:val="7030A0"/>
          <w:sz w:val="24"/>
          <w:szCs w:val="24"/>
          <w:lang w:val="en-US"/>
        </w:rPr>
        <w:t xml:space="preserve">FRIDAY, </w:t>
      </w:r>
      <w:r w:rsidR="0042493C">
        <w:rPr>
          <w:b/>
          <w:color w:val="7030A0"/>
          <w:sz w:val="24"/>
          <w:szCs w:val="24"/>
          <w:lang w:val="en-US"/>
        </w:rPr>
        <w:t xml:space="preserve">7 March </w:t>
      </w:r>
      <w:r w:rsidRPr="00917E47">
        <w:rPr>
          <w:b/>
          <w:color w:val="7030A0"/>
          <w:sz w:val="24"/>
          <w:szCs w:val="24"/>
          <w:lang w:val="en-US"/>
        </w:rPr>
        <w:t>2014</w:t>
      </w:r>
    </w:p>
    <w:p w:rsidR="008A5A2F" w:rsidRPr="00917E47" w:rsidRDefault="008A5A2F" w:rsidP="00A916AB">
      <w:pPr>
        <w:pStyle w:val="BodyText"/>
        <w:rPr>
          <w:b/>
          <w:color w:val="1F497D" w:themeColor="text2"/>
          <w:sz w:val="24"/>
          <w:szCs w:val="24"/>
          <w:lang w:val="en-US"/>
        </w:rPr>
      </w:pPr>
      <w:r w:rsidRPr="00917E47">
        <w:rPr>
          <w:b/>
          <w:color w:val="1F497D" w:themeColor="text2"/>
          <w:sz w:val="24"/>
          <w:szCs w:val="24"/>
          <w:lang w:val="en-US"/>
        </w:rPr>
        <w:t>How to distinguish between good and dodgy/predatory publishers of journals and books</w:t>
      </w:r>
    </w:p>
    <w:p w:rsidR="00CC7326" w:rsidRPr="00917E47" w:rsidRDefault="00CC7326" w:rsidP="00CC7326">
      <w:pPr>
        <w:pStyle w:val="BodyText"/>
        <w:rPr>
          <w:b/>
          <w:color w:val="7030A0"/>
          <w:sz w:val="24"/>
          <w:szCs w:val="24"/>
          <w:lang w:val="en-US"/>
        </w:rPr>
      </w:pPr>
      <w:r w:rsidRPr="00917E47">
        <w:rPr>
          <w:b/>
          <w:color w:val="7030A0"/>
          <w:sz w:val="24"/>
          <w:szCs w:val="24"/>
          <w:lang w:val="en-US"/>
        </w:rPr>
        <w:t>FRIDAY, 21 MARCH 2014</w:t>
      </w:r>
    </w:p>
    <w:p w:rsidR="00CC7326" w:rsidRPr="00917E47" w:rsidRDefault="00CC7326" w:rsidP="00CC7326">
      <w:pPr>
        <w:pStyle w:val="BodyText"/>
        <w:rPr>
          <w:b/>
          <w:color w:val="C00000"/>
          <w:sz w:val="24"/>
          <w:szCs w:val="24"/>
          <w:lang w:val="en-US"/>
        </w:rPr>
      </w:pPr>
      <w:r w:rsidRPr="00917E47">
        <w:rPr>
          <w:b/>
          <w:color w:val="C00000"/>
          <w:sz w:val="24"/>
          <w:szCs w:val="24"/>
          <w:lang w:val="en-US"/>
        </w:rPr>
        <w:t xml:space="preserve">Ann Wollner </w:t>
      </w:r>
    </w:p>
    <w:p w:rsidR="00E33432" w:rsidRPr="00917E47" w:rsidRDefault="00E33432" w:rsidP="00E33432">
      <w:pPr>
        <w:pStyle w:val="BodyText"/>
        <w:rPr>
          <w:b/>
          <w:color w:val="1F497D" w:themeColor="text2"/>
          <w:sz w:val="24"/>
          <w:szCs w:val="24"/>
          <w:lang w:val="en-US"/>
        </w:rPr>
      </w:pPr>
      <w:r w:rsidRPr="00917E47">
        <w:rPr>
          <w:b/>
          <w:color w:val="1F497D" w:themeColor="text2"/>
          <w:sz w:val="24"/>
          <w:szCs w:val="24"/>
          <w:lang w:val="en-US"/>
        </w:rPr>
        <w:t>International Parental Children Abduction-Legal/ Social Work/ Mediation- Towards a holistic approach- About time!</w:t>
      </w:r>
    </w:p>
    <w:p w:rsidR="00E33432" w:rsidRPr="00E33432" w:rsidRDefault="00E33432" w:rsidP="00E33432">
      <w:pPr>
        <w:pStyle w:val="BodyText"/>
        <w:rPr>
          <w:color w:val="1F497D" w:themeColor="text2"/>
          <w:lang w:val="en-US"/>
        </w:rPr>
      </w:pPr>
      <w:r w:rsidRPr="00E33432">
        <w:rPr>
          <w:color w:val="1F497D" w:themeColor="text2"/>
          <w:lang w:val="en-US"/>
        </w:rPr>
        <w:t xml:space="preserve">The world is becoming a smaller and smaller place. Voluntarily or involuntarily, families scatter and lives are disrupted. More and more children's lives are challenged by parental abduction. The United Nations and many of its member countries have recognised the need to protect and defend vulnerable children. The Hague Convention on the Civil Aspects of International Child Abduction (the Hague Convention) came into force in 1983 to facilitate this protection. However, the outcomes of the Hague Convention with its strictly legal focus are limited. Rather what is needed is an international </w:t>
      </w:r>
      <w:proofErr w:type="spellStart"/>
      <w:r w:rsidRPr="00E33432">
        <w:rPr>
          <w:color w:val="1F497D" w:themeColor="text2"/>
          <w:lang w:val="en-US"/>
        </w:rPr>
        <w:t>organisation</w:t>
      </w:r>
      <w:proofErr w:type="spellEnd"/>
      <w:r w:rsidRPr="00E33432">
        <w:rPr>
          <w:color w:val="1F497D" w:themeColor="text2"/>
          <w:lang w:val="en-US"/>
        </w:rPr>
        <w:t xml:space="preserve"> with members worldwide which can offer a raft of services, legal, social and psychological. The International Social Service (ISS) was established in 1924 after World War 1 in response to the migration of displaced persons. Unfortunately the need to protect children and support families has only increased since then. ISS has grown into an </w:t>
      </w:r>
      <w:proofErr w:type="spellStart"/>
      <w:r w:rsidRPr="00E33432">
        <w:rPr>
          <w:color w:val="1F497D" w:themeColor="text2"/>
          <w:lang w:val="en-US"/>
        </w:rPr>
        <w:lastRenderedPageBreak/>
        <w:t>organisation</w:t>
      </w:r>
      <w:proofErr w:type="spellEnd"/>
      <w:r w:rsidRPr="00E33432">
        <w:rPr>
          <w:color w:val="1F497D" w:themeColor="text2"/>
          <w:lang w:val="en-US"/>
        </w:rPr>
        <w:t xml:space="preserve"> with over a 100 offices worldwide. ISS Australia understands that assistance is required at different levels. It has expanded its services to meet the various needs. The presentation will explain the ISS global </w:t>
      </w:r>
      <w:proofErr w:type="spellStart"/>
      <w:r w:rsidRPr="00E33432">
        <w:rPr>
          <w:color w:val="1F497D" w:themeColor="text2"/>
          <w:lang w:val="en-US"/>
        </w:rPr>
        <w:t>organisation</w:t>
      </w:r>
      <w:proofErr w:type="spellEnd"/>
      <w:r w:rsidRPr="00E33432">
        <w:rPr>
          <w:color w:val="1F497D" w:themeColor="text2"/>
          <w:lang w:val="en-US"/>
        </w:rPr>
        <w:t>; ISS Australia's set of services (social work; legal and family mediation); an overview of the relevant law regarding Hague Convention abduction cases and the obstacles (both legal and otherwise) to satisfactory outcomes.</w:t>
      </w:r>
    </w:p>
    <w:p w:rsidR="00E33432" w:rsidRPr="00E33432" w:rsidRDefault="00E33432" w:rsidP="00E33432">
      <w:pPr>
        <w:pStyle w:val="BodyText"/>
        <w:rPr>
          <w:color w:val="1F497D" w:themeColor="text2"/>
          <w:lang w:val="en-US"/>
        </w:rPr>
      </w:pPr>
      <w:r w:rsidRPr="00E33432">
        <w:rPr>
          <w:color w:val="1F497D" w:themeColor="text2"/>
          <w:lang w:val="en-US"/>
        </w:rPr>
        <w:t>Biography</w:t>
      </w:r>
    </w:p>
    <w:p w:rsidR="00E33432" w:rsidRPr="00E33432" w:rsidRDefault="00E33432" w:rsidP="00E33432">
      <w:pPr>
        <w:pStyle w:val="BodyText"/>
        <w:rPr>
          <w:color w:val="1F497D" w:themeColor="text2"/>
          <w:lang w:val="en-US"/>
        </w:rPr>
      </w:pPr>
      <w:r w:rsidRPr="00E33432">
        <w:rPr>
          <w:color w:val="1F497D" w:themeColor="text2"/>
          <w:lang w:val="en-US"/>
        </w:rPr>
        <w:t>Dr Ann Wollner is the manager of the legal team at ISS Australia. She has a Doctorate in child clinical psychology from Melbourne University and a Masters of Comparative Law from George Washington University, Washington DC.  She is experienced in family, commercial and property law, with a particular interest in international children’s matters and family violence. She is a trained collaborative lawyer and mediator and was appointed to establish the legal department in the National Office of ISS Australia.</w:t>
      </w:r>
    </w:p>
    <w:p w:rsidR="00E33432" w:rsidRPr="00E33432" w:rsidRDefault="00E33432" w:rsidP="00E33432">
      <w:pPr>
        <w:pStyle w:val="BodyText"/>
        <w:rPr>
          <w:color w:val="1F497D" w:themeColor="text2"/>
          <w:lang w:val="en-US"/>
        </w:rPr>
      </w:pPr>
      <w:r w:rsidRPr="00E33432">
        <w:rPr>
          <w:color w:val="1F497D" w:themeColor="text2"/>
          <w:lang w:val="en-US"/>
        </w:rPr>
        <w:t xml:space="preserve">Ann has lectured at the University of Melbourne in law and has </w:t>
      </w:r>
      <w:proofErr w:type="spellStart"/>
      <w:r w:rsidRPr="00E33432">
        <w:rPr>
          <w:color w:val="1F497D" w:themeColor="text2"/>
          <w:lang w:val="en-US"/>
        </w:rPr>
        <w:t>practised</w:t>
      </w:r>
      <w:proofErr w:type="spellEnd"/>
      <w:r w:rsidRPr="00E33432">
        <w:rPr>
          <w:color w:val="1F497D" w:themeColor="text2"/>
          <w:lang w:val="en-US"/>
        </w:rPr>
        <w:t xml:space="preserve"> psychology in the private and public sectors. She has worked in a number of government Child &amp; Adolescent Mental Health Services, and at the Centre for Adolescent Health in the Royal Children’s Hospital.  Ann has published articles and given presentations relating to family violence and child abuse.</w:t>
      </w:r>
    </w:p>
    <w:p w:rsidR="00A916AB" w:rsidRPr="00A916AB" w:rsidRDefault="00A916AB" w:rsidP="00A916AB">
      <w:pPr>
        <w:pStyle w:val="BodyText"/>
        <w:rPr>
          <w:b/>
          <w:color w:val="7030A0"/>
          <w:lang w:val="en-US"/>
        </w:rPr>
      </w:pPr>
      <w:r w:rsidRPr="00A916AB">
        <w:rPr>
          <w:b/>
          <w:color w:val="7030A0"/>
          <w:lang w:val="en-US"/>
        </w:rPr>
        <w:t>FRIDAY, 2 MAY 2014</w:t>
      </w:r>
    </w:p>
    <w:p w:rsidR="00F61D55" w:rsidRPr="00E33432" w:rsidRDefault="00A916AB" w:rsidP="00F61D55">
      <w:pPr>
        <w:pStyle w:val="BodyText"/>
        <w:rPr>
          <w:color w:val="1F497D" w:themeColor="text2"/>
          <w:lang w:val="en-US"/>
        </w:rPr>
      </w:pPr>
      <w:r w:rsidRPr="00366CEA">
        <w:rPr>
          <w:b/>
          <w:color w:val="C00000"/>
          <w:lang w:val="en-US"/>
        </w:rPr>
        <w:t xml:space="preserve">T. Leigh </w:t>
      </w:r>
      <w:proofErr w:type="spellStart"/>
      <w:r w:rsidRPr="00366CEA">
        <w:rPr>
          <w:b/>
          <w:color w:val="C00000"/>
          <w:lang w:val="en-US"/>
        </w:rPr>
        <w:t>Anenson</w:t>
      </w:r>
      <w:proofErr w:type="spellEnd"/>
      <w:r w:rsidRPr="00366CEA">
        <w:rPr>
          <w:b/>
          <w:color w:val="C00000"/>
          <w:lang w:val="en-US"/>
        </w:rPr>
        <w:t>, J.D., LL.M.</w:t>
      </w:r>
      <w:r w:rsidR="00F61D55" w:rsidRPr="00F61D55">
        <w:rPr>
          <w:color w:val="1F497D" w:themeColor="text2"/>
          <w:lang w:val="en-US"/>
        </w:rPr>
        <w:t xml:space="preserve"> </w:t>
      </w:r>
    </w:p>
    <w:p w:rsidR="00A916AB" w:rsidRPr="00A916AB" w:rsidRDefault="00A916AB" w:rsidP="00A916AB">
      <w:pPr>
        <w:pStyle w:val="BodyText"/>
        <w:rPr>
          <w:color w:val="1F497D" w:themeColor="text2"/>
          <w:lang w:val="en-US"/>
        </w:rPr>
      </w:pPr>
      <w:r w:rsidRPr="00A916AB">
        <w:rPr>
          <w:color w:val="1F497D" w:themeColor="text2"/>
          <w:lang w:val="en-US"/>
        </w:rPr>
        <w:t>Associate Professor of Business Law</w:t>
      </w:r>
    </w:p>
    <w:p w:rsidR="00F61D55" w:rsidRPr="00E33432" w:rsidRDefault="00A916AB" w:rsidP="00F61D55">
      <w:pPr>
        <w:pStyle w:val="BodyText"/>
        <w:rPr>
          <w:color w:val="1F497D" w:themeColor="text2"/>
          <w:lang w:val="en-US"/>
        </w:rPr>
      </w:pPr>
      <w:r w:rsidRPr="00A916AB">
        <w:rPr>
          <w:color w:val="1F497D" w:themeColor="text2"/>
          <w:lang w:val="en-US"/>
        </w:rPr>
        <w:t>Department of Logistics, Business and Public Policy</w:t>
      </w:r>
    </w:p>
    <w:p w:rsidR="00F61D55" w:rsidRPr="00E33432" w:rsidRDefault="00A916AB" w:rsidP="00F61D55">
      <w:pPr>
        <w:pStyle w:val="BodyText"/>
        <w:rPr>
          <w:color w:val="1F497D" w:themeColor="text2"/>
          <w:lang w:val="en-US"/>
        </w:rPr>
      </w:pPr>
      <w:r w:rsidRPr="00A916AB">
        <w:rPr>
          <w:color w:val="1F497D" w:themeColor="text2"/>
          <w:lang w:val="en-US"/>
        </w:rPr>
        <w:t>Robert H. Smith School of Business</w:t>
      </w:r>
    </w:p>
    <w:p w:rsidR="00541936" w:rsidRDefault="00A916AB" w:rsidP="00A916AB">
      <w:pPr>
        <w:pStyle w:val="BodyText"/>
        <w:rPr>
          <w:color w:val="1F497D" w:themeColor="text2"/>
          <w:lang w:val="en-US"/>
        </w:rPr>
      </w:pPr>
      <w:r w:rsidRPr="00A916AB">
        <w:rPr>
          <w:color w:val="1F497D" w:themeColor="text2"/>
          <w:lang w:val="en-US"/>
        </w:rPr>
        <w:t>University of Maryland</w:t>
      </w:r>
    </w:p>
    <w:p w:rsidR="00031B97" w:rsidRDefault="00031B97" w:rsidP="00366CEA">
      <w:pPr>
        <w:keepLines/>
        <w:spacing w:before="40" w:after="120" w:line="280" w:lineRule="atLeast"/>
        <w:ind w:left="414" w:firstLine="720"/>
        <w:jc w:val="center"/>
        <w:rPr>
          <w:rFonts w:eastAsiaTheme="minorEastAsia" w:cstheme="minorHAnsi"/>
          <w:b/>
          <w:color w:val="C00000"/>
          <w:sz w:val="28"/>
          <w:szCs w:val="28"/>
          <w:u w:color="000000"/>
          <w:lang w:val="en-US"/>
        </w:rPr>
      </w:pPr>
    </w:p>
    <w:p w:rsidR="00031B97" w:rsidRDefault="00031B97" w:rsidP="00366CEA">
      <w:pPr>
        <w:keepLines/>
        <w:spacing w:before="40" w:after="120" w:line="280" w:lineRule="atLeast"/>
        <w:ind w:left="414" w:firstLine="720"/>
        <w:jc w:val="center"/>
        <w:rPr>
          <w:rFonts w:eastAsiaTheme="minorEastAsia" w:cstheme="minorHAnsi"/>
          <w:b/>
          <w:color w:val="C00000"/>
          <w:sz w:val="28"/>
          <w:szCs w:val="28"/>
          <w:u w:color="000000"/>
          <w:lang w:val="en-US"/>
        </w:rPr>
      </w:pPr>
    </w:p>
    <w:p w:rsidR="008A5A2F" w:rsidRDefault="008A5A2F" w:rsidP="00366CEA">
      <w:pPr>
        <w:keepLines/>
        <w:spacing w:before="40" w:after="120" w:line="280" w:lineRule="atLeast"/>
        <w:ind w:left="414" w:firstLine="720"/>
        <w:jc w:val="center"/>
        <w:rPr>
          <w:rFonts w:eastAsiaTheme="minorEastAsia" w:cstheme="minorHAnsi"/>
          <w:b/>
          <w:color w:val="C00000"/>
          <w:sz w:val="28"/>
          <w:szCs w:val="28"/>
          <w:u w:color="000000"/>
          <w:lang w:val="en-US"/>
        </w:rPr>
      </w:pPr>
      <w:r>
        <w:rPr>
          <w:rFonts w:eastAsiaTheme="minorEastAsia" w:cstheme="minorHAnsi"/>
          <w:b/>
          <w:color w:val="C00000"/>
          <w:sz w:val="28"/>
          <w:szCs w:val="28"/>
          <w:u w:color="000000"/>
          <w:lang w:val="en-US"/>
        </w:rPr>
        <w:t>TORTS, JURISPRUDENCE, ECONOMICS, ETC RESEARCH HUB</w:t>
      </w:r>
    </w:p>
    <w:p w:rsidR="00366CEA" w:rsidRPr="00366CEA" w:rsidRDefault="00366CEA" w:rsidP="00366CEA">
      <w:pPr>
        <w:pStyle w:val="BodyText"/>
        <w:jc w:val="center"/>
        <w:rPr>
          <w:b/>
          <w:color w:val="7030A0"/>
          <w:sz w:val="24"/>
          <w:szCs w:val="24"/>
          <w:lang w:val="en-US"/>
        </w:rPr>
      </w:pPr>
      <w:r w:rsidRPr="00366CEA">
        <w:rPr>
          <w:b/>
          <w:color w:val="7030A0"/>
          <w:sz w:val="24"/>
          <w:szCs w:val="24"/>
          <w:lang w:val="en-US"/>
        </w:rPr>
        <w:t xml:space="preserve">                  Meetings are held on the first Wednesday of each month at 5pm</w:t>
      </w:r>
    </w:p>
    <w:p w:rsidR="00366CEA" w:rsidRPr="00984054" w:rsidRDefault="00366CEA" w:rsidP="00366CEA">
      <w:pPr>
        <w:pStyle w:val="BodyText"/>
        <w:spacing w:after="0" w:line="240" w:lineRule="auto"/>
        <w:rPr>
          <w:b/>
          <w:color w:val="1F497D" w:themeColor="text2"/>
          <w:lang w:val="en-US"/>
        </w:rPr>
      </w:pPr>
      <w:r w:rsidRPr="00984054">
        <w:rPr>
          <w:b/>
          <w:color w:val="1F497D" w:themeColor="text2"/>
          <w:lang w:val="en-US"/>
        </w:rPr>
        <w:t>Venues:</w:t>
      </w:r>
      <w:r>
        <w:rPr>
          <w:b/>
          <w:color w:val="1F497D" w:themeColor="text2"/>
          <w:lang w:val="en-US"/>
        </w:rPr>
        <w:t xml:space="preserve"> </w:t>
      </w:r>
    </w:p>
    <w:p w:rsidR="00366CEA" w:rsidRPr="00984054" w:rsidRDefault="00366CEA" w:rsidP="00366CEA">
      <w:pPr>
        <w:pStyle w:val="BodyText"/>
        <w:spacing w:after="0" w:line="240" w:lineRule="auto"/>
        <w:rPr>
          <w:b/>
          <w:color w:val="1F497D" w:themeColor="text2"/>
          <w:lang w:val="en-US"/>
        </w:rPr>
      </w:pPr>
      <w:r w:rsidRPr="00984054">
        <w:rPr>
          <w:color w:val="1F497D" w:themeColor="text2"/>
          <w:lang w:val="en-US"/>
        </w:rPr>
        <w:t>Melbourne:             Boardroom, Level 3, Deakin City Center, 550 Bourke Street</w:t>
      </w:r>
    </w:p>
    <w:p w:rsidR="00366CEA" w:rsidRPr="00984054" w:rsidRDefault="00366CEA" w:rsidP="00366CEA">
      <w:pPr>
        <w:pStyle w:val="BodyText"/>
        <w:spacing w:after="0" w:line="240" w:lineRule="auto"/>
        <w:rPr>
          <w:color w:val="1F497D" w:themeColor="text2"/>
          <w:lang w:val="en-US"/>
        </w:rPr>
      </w:pPr>
      <w:r w:rsidRPr="00984054">
        <w:rPr>
          <w:color w:val="1F497D" w:themeColor="text2"/>
          <w:lang w:val="en-US"/>
        </w:rPr>
        <w:t>The Waterfront</w:t>
      </w:r>
      <w:proofErr w:type="gramStart"/>
      <w:r w:rsidRPr="00984054">
        <w:rPr>
          <w:color w:val="1F497D" w:themeColor="text2"/>
          <w:lang w:val="en-US"/>
        </w:rPr>
        <w:t>:   F</w:t>
      </w:r>
      <w:proofErr w:type="gramEnd"/>
      <w:r w:rsidRPr="00984054">
        <w:rPr>
          <w:color w:val="1F497D" w:themeColor="text2"/>
          <w:lang w:val="en-US"/>
        </w:rPr>
        <w:t xml:space="preserve"> BL Mtg Room AD Level 2 ad2.308  (all Deakin Staff)  </w:t>
      </w:r>
    </w:p>
    <w:p w:rsidR="00366CEA" w:rsidRPr="00984054" w:rsidRDefault="00366CEA" w:rsidP="00366CEA">
      <w:pPr>
        <w:pStyle w:val="BodyText"/>
        <w:spacing w:after="0" w:line="240" w:lineRule="auto"/>
        <w:rPr>
          <w:color w:val="1F497D" w:themeColor="text2"/>
          <w:lang w:val="en-US"/>
        </w:rPr>
      </w:pPr>
      <w:r w:rsidRPr="00984054">
        <w:rPr>
          <w:color w:val="1F497D" w:themeColor="text2"/>
          <w:lang w:val="en-US"/>
        </w:rPr>
        <w:t>Burwood:                Moot Court:  C 4.05</w:t>
      </w:r>
    </w:p>
    <w:p w:rsidR="00366CEA" w:rsidRPr="00984054" w:rsidRDefault="00366CEA" w:rsidP="00366CEA">
      <w:pPr>
        <w:pStyle w:val="BodyText"/>
        <w:spacing w:after="0" w:line="240" w:lineRule="auto"/>
        <w:rPr>
          <w:color w:val="1F497D" w:themeColor="text2"/>
          <w:lang w:val="en-US"/>
        </w:rPr>
      </w:pPr>
      <w:r w:rsidRPr="00984054">
        <w:rPr>
          <w:color w:val="1F497D" w:themeColor="text2"/>
          <w:lang w:val="en-US"/>
        </w:rPr>
        <w:t xml:space="preserve">The VPN telephone number, to which </w:t>
      </w:r>
      <w:r w:rsidRPr="00366CEA">
        <w:rPr>
          <w:i/>
          <w:color w:val="1F497D" w:themeColor="text2"/>
          <w:lang w:val="en-US"/>
        </w:rPr>
        <w:t>all</w:t>
      </w:r>
      <w:r w:rsidRPr="00984054">
        <w:rPr>
          <w:color w:val="1F497D" w:themeColor="text2"/>
          <w:lang w:val="en-US"/>
        </w:rPr>
        <w:t xml:space="preserve"> parties must, dial is: </w:t>
      </w:r>
      <w:r w:rsidRPr="00366CEA">
        <w:rPr>
          <w:b/>
          <w:color w:val="1F497D" w:themeColor="text2"/>
          <w:lang w:val="en-US"/>
        </w:rPr>
        <w:t>5223 6933</w:t>
      </w:r>
    </w:p>
    <w:p w:rsidR="00366CEA" w:rsidRDefault="00366CEA" w:rsidP="00984054">
      <w:pPr>
        <w:pStyle w:val="BodyText"/>
        <w:rPr>
          <w:b/>
          <w:color w:val="1F497D" w:themeColor="text2"/>
          <w:lang w:val="en-US"/>
        </w:rPr>
      </w:pPr>
    </w:p>
    <w:p w:rsidR="00984054" w:rsidRPr="00031B97" w:rsidRDefault="00984054" w:rsidP="00984054">
      <w:pPr>
        <w:pStyle w:val="BodyText"/>
        <w:rPr>
          <w:b/>
          <w:color w:val="7030A0"/>
          <w:sz w:val="24"/>
          <w:szCs w:val="24"/>
          <w:lang w:val="en-US"/>
        </w:rPr>
      </w:pPr>
      <w:r w:rsidRPr="00031B97">
        <w:rPr>
          <w:b/>
          <w:color w:val="7030A0"/>
          <w:sz w:val="24"/>
          <w:szCs w:val="24"/>
          <w:lang w:val="en-US"/>
        </w:rPr>
        <w:t xml:space="preserve">WEDNESDAY, 5 FEBRUARY 2014 </w:t>
      </w:r>
    </w:p>
    <w:p w:rsidR="00984054" w:rsidRPr="00984054" w:rsidRDefault="00984054" w:rsidP="00984054">
      <w:pPr>
        <w:pStyle w:val="BodyText"/>
        <w:rPr>
          <w:color w:val="1F497D" w:themeColor="text2"/>
          <w:lang w:val="en-US"/>
        </w:rPr>
      </w:pPr>
      <w:r w:rsidRPr="00984054">
        <w:rPr>
          <w:b/>
          <w:color w:val="C00000"/>
          <w:lang w:val="en-US"/>
        </w:rPr>
        <w:t>Carol Newlands</w:t>
      </w:r>
      <w:r>
        <w:rPr>
          <w:b/>
          <w:color w:val="C00000"/>
          <w:lang w:val="en-US"/>
        </w:rPr>
        <w:t xml:space="preserve">: </w:t>
      </w:r>
      <w:r w:rsidRPr="00984054">
        <w:rPr>
          <w:color w:val="1F497D" w:themeColor="text2"/>
          <w:lang w:val="en-US"/>
        </w:rPr>
        <w:t>The Role of Medical Panels in Victoria: workloads and statistics</w:t>
      </w:r>
      <w:r>
        <w:rPr>
          <w:color w:val="1F497D" w:themeColor="text2"/>
          <w:lang w:val="en-US"/>
        </w:rPr>
        <w:t xml:space="preserve"> </w:t>
      </w:r>
      <w:r w:rsidRPr="00984054">
        <w:rPr>
          <w:color w:val="1F497D" w:themeColor="text2"/>
          <w:lang w:val="en-US"/>
        </w:rPr>
        <w:t>(Medical Panels’ workloads reflect personal injury claims)</w:t>
      </w:r>
    </w:p>
    <w:p w:rsidR="00984054" w:rsidRDefault="00984054" w:rsidP="00984054">
      <w:pPr>
        <w:pStyle w:val="BodyText"/>
        <w:rPr>
          <w:color w:val="1F497D" w:themeColor="text2"/>
          <w:lang w:val="en-US"/>
        </w:rPr>
      </w:pPr>
      <w:r w:rsidRPr="00984054">
        <w:rPr>
          <w:color w:val="1F497D" w:themeColor="text2"/>
          <w:lang w:val="en-US"/>
        </w:rPr>
        <w:lastRenderedPageBreak/>
        <w:t xml:space="preserve">Carol will discuss statistical information that shows significant increase in workloads of Medical Panels since 2010 in relation to claims under the </w:t>
      </w:r>
      <w:r w:rsidRPr="00366CEA">
        <w:rPr>
          <w:i/>
          <w:color w:val="1F497D" w:themeColor="text2"/>
          <w:lang w:val="en-US"/>
        </w:rPr>
        <w:t>Wrongs Act 1958</w:t>
      </w:r>
      <w:r w:rsidRPr="00984054">
        <w:rPr>
          <w:color w:val="1F497D" w:themeColor="text2"/>
          <w:lang w:val="en-US"/>
        </w:rPr>
        <w:t xml:space="preserve"> and the </w:t>
      </w:r>
      <w:r w:rsidRPr="00366CEA">
        <w:rPr>
          <w:i/>
          <w:color w:val="1F497D" w:themeColor="text2"/>
          <w:lang w:val="en-US"/>
        </w:rPr>
        <w:t>Accident Compensation Act 1985</w:t>
      </w:r>
      <w:r w:rsidRPr="00984054">
        <w:rPr>
          <w:color w:val="1F497D" w:themeColor="text2"/>
          <w:lang w:val="en-US"/>
        </w:rPr>
        <w:t xml:space="preserve">. She will then consider possible reasons for such an increase. </w:t>
      </w:r>
    </w:p>
    <w:p w:rsidR="00535734" w:rsidRPr="00535734" w:rsidRDefault="00535734" w:rsidP="00535734">
      <w:pPr>
        <w:pStyle w:val="BodyText"/>
        <w:jc w:val="center"/>
        <w:rPr>
          <w:b/>
          <w:color w:val="002060"/>
          <w:sz w:val="24"/>
          <w:szCs w:val="24"/>
          <w:lang w:val="en-US"/>
        </w:rPr>
      </w:pPr>
      <w:r w:rsidRPr="00535734">
        <w:rPr>
          <w:b/>
          <w:color w:val="002060"/>
          <w:sz w:val="24"/>
          <w:szCs w:val="24"/>
          <w:lang w:val="en-US"/>
        </w:rPr>
        <w:t>TENTATIVE SCHEDULE OF FORTHCOMING MEETINGS</w:t>
      </w:r>
    </w:p>
    <w:p w:rsidR="00366CEA" w:rsidRPr="00031B97" w:rsidRDefault="00366CEA" w:rsidP="00984054">
      <w:pPr>
        <w:pStyle w:val="BodyText"/>
        <w:rPr>
          <w:b/>
          <w:color w:val="7030A0"/>
          <w:sz w:val="24"/>
          <w:szCs w:val="24"/>
          <w:lang w:val="en-US"/>
        </w:rPr>
      </w:pPr>
      <w:r w:rsidRPr="00031B97">
        <w:rPr>
          <w:b/>
          <w:color w:val="7030A0"/>
          <w:sz w:val="24"/>
          <w:szCs w:val="24"/>
          <w:lang w:val="en-US"/>
        </w:rPr>
        <w:t xml:space="preserve">WEDNESDAY, 5 MARCH 2014 </w:t>
      </w:r>
    </w:p>
    <w:p w:rsidR="00366CEA" w:rsidRPr="00031B97" w:rsidRDefault="00031B97" w:rsidP="00984054">
      <w:pPr>
        <w:pStyle w:val="BodyText"/>
        <w:rPr>
          <w:b/>
          <w:color w:val="C00000"/>
          <w:sz w:val="24"/>
          <w:szCs w:val="24"/>
          <w:lang w:val="en-US"/>
        </w:rPr>
      </w:pPr>
      <w:r w:rsidRPr="00031B97">
        <w:rPr>
          <w:b/>
          <w:color w:val="C00000"/>
          <w:sz w:val="24"/>
          <w:szCs w:val="24"/>
          <w:lang w:val="en-US"/>
        </w:rPr>
        <w:t>Danuta Mendelson</w:t>
      </w:r>
    </w:p>
    <w:p w:rsidR="00031B97" w:rsidRPr="00031B97" w:rsidRDefault="00031B97" w:rsidP="00984054">
      <w:pPr>
        <w:pStyle w:val="BodyText"/>
        <w:rPr>
          <w:color w:val="1F497D" w:themeColor="text2"/>
          <w:sz w:val="24"/>
          <w:szCs w:val="24"/>
          <w:lang w:val="en-US"/>
        </w:rPr>
      </w:pPr>
      <w:r w:rsidRPr="00031B97">
        <w:rPr>
          <w:color w:val="1F497D" w:themeColor="text2"/>
          <w:sz w:val="24"/>
          <w:szCs w:val="24"/>
          <w:lang w:val="en-US"/>
        </w:rPr>
        <w:t>More on maturity of brain and consent</w:t>
      </w:r>
    </w:p>
    <w:p w:rsidR="00031B97" w:rsidRDefault="00031B97" w:rsidP="00031B97">
      <w:pPr>
        <w:pStyle w:val="BodyText"/>
        <w:rPr>
          <w:b/>
          <w:color w:val="7030A0"/>
          <w:sz w:val="24"/>
          <w:szCs w:val="24"/>
          <w:lang w:val="en-US"/>
        </w:rPr>
      </w:pPr>
      <w:r w:rsidRPr="00031B97">
        <w:rPr>
          <w:b/>
          <w:color w:val="7030A0"/>
          <w:sz w:val="24"/>
          <w:szCs w:val="24"/>
          <w:lang w:val="en-US"/>
        </w:rPr>
        <w:t xml:space="preserve">WEDNESDAY, </w:t>
      </w:r>
      <w:r>
        <w:rPr>
          <w:b/>
          <w:color w:val="7030A0"/>
          <w:sz w:val="24"/>
          <w:szCs w:val="24"/>
          <w:lang w:val="en-US"/>
        </w:rPr>
        <w:t xml:space="preserve">2 APRIL </w:t>
      </w:r>
      <w:r w:rsidRPr="00031B97">
        <w:rPr>
          <w:b/>
          <w:color w:val="7030A0"/>
          <w:sz w:val="24"/>
          <w:szCs w:val="24"/>
          <w:lang w:val="en-US"/>
        </w:rPr>
        <w:t xml:space="preserve">2014 </w:t>
      </w:r>
    </w:p>
    <w:p w:rsidR="00031B97" w:rsidRPr="00031B97" w:rsidRDefault="00031B97" w:rsidP="00031B97">
      <w:pPr>
        <w:pStyle w:val="BodyText"/>
        <w:rPr>
          <w:b/>
          <w:color w:val="C00000"/>
          <w:sz w:val="24"/>
          <w:szCs w:val="24"/>
          <w:lang w:val="en-US"/>
        </w:rPr>
      </w:pPr>
      <w:r w:rsidRPr="00031B97">
        <w:rPr>
          <w:b/>
          <w:color w:val="C00000"/>
          <w:sz w:val="24"/>
          <w:szCs w:val="24"/>
          <w:lang w:val="en-US"/>
        </w:rPr>
        <w:t>Sandeep Gopalan</w:t>
      </w:r>
    </w:p>
    <w:p w:rsidR="00031B97" w:rsidRPr="00031B97" w:rsidRDefault="00031B97" w:rsidP="00031B97">
      <w:pPr>
        <w:pStyle w:val="BodyText"/>
        <w:rPr>
          <w:b/>
          <w:color w:val="002060"/>
          <w:sz w:val="24"/>
          <w:szCs w:val="24"/>
          <w:lang w:val="en-US"/>
        </w:rPr>
      </w:pPr>
      <w:r w:rsidRPr="00031B97">
        <w:rPr>
          <w:b/>
          <w:color w:val="002060"/>
          <w:sz w:val="24"/>
          <w:szCs w:val="24"/>
          <w:lang w:val="en-US"/>
        </w:rPr>
        <w:t>Dean of the Newcastle Law School</w:t>
      </w:r>
    </w:p>
    <w:p w:rsidR="00031B97" w:rsidRDefault="00031B97" w:rsidP="00031B97">
      <w:pPr>
        <w:pStyle w:val="BodyText"/>
        <w:rPr>
          <w:b/>
          <w:color w:val="7030A0"/>
          <w:sz w:val="24"/>
          <w:szCs w:val="24"/>
          <w:lang w:val="en-US"/>
        </w:rPr>
      </w:pPr>
      <w:r w:rsidRPr="00031B97">
        <w:rPr>
          <w:b/>
          <w:color w:val="7030A0"/>
          <w:sz w:val="24"/>
          <w:szCs w:val="24"/>
          <w:lang w:val="en-US"/>
        </w:rPr>
        <w:t xml:space="preserve">WEDNESDAY, </w:t>
      </w:r>
      <w:r>
        <w:rPr>
          <w:b/>
          <w:color w:val="7030A0"/>
          <w:sz w:val="24"/>
          <w:szCs w:val="24"/>
          <w:lang w:val="en-US"/>
        </w:rPr>
        <w:t xml:space="preserve">7 MAY </w:t>
      </w:r>
      <w:r w:rsidRPr="00031B97">
        <w:rPr>
          <w:b/>
          <w:color w:val="7030A0"/>
          <w:sz w:val="24"/>
          <w:szCs w:val="24"/>
          <w:lang w:val="en-US"/>
        </w:rPr>
        <w:t xml:space="preserve">2014 </w:t>
      </w:r>
    </w:p>
    <w:p w:rsidR="00031B97" w:rsidRDefault="00031B97" w:rsidP="00984054">
      <w:pPr>
        <w:pStyle w:val="BodyText"/>
        <w:rPr>
          <w:b/>
          <w:color w:val="1F497D" w:themeColor="text2"/>
          <w:sz w:val="24"/>
          <w:szCs w:val="24"/>
          <w:lang w:val="en-US"/>
        </w:rPr>
      </w:pPr>
      <w:r>
        <w:rPr>
          <w:b/>
          <w:color w:val="1F497D" w:themeColor="text2"/>
          <w:sz w:val="24"/>
          <w:szCs w:val="24"/>
          <w:lang w:val="en-US"/>
        </w:rPr>
        <w:t>Sharon Erbacher</w:t>
      </w:r>
    </w:p>
    <w:p w:rsidR="00031B97" w:rsidRPr="00031B97" w:rsidRDefault="00031B97" w:rsidP="00984054">
      <w:pPr>
        <w:pStyle w:val="BodyText"/>
        <w:rPr>
          <w:color w:val="1F497D" w:themeColor="text2"/>
          <w:sz w:val="24"/>
          <w:szCs w:val="24"/>
          <w:lang w:val="en-US"/>
        </w:rPr>
      </w:pPr>
      <w:r w:rsidRPr="00031B97">
        <w:rPr>
          <w:color w:val="1F497D" w:themeColor="text2"/>
          <w:sz w:val="24"/>
          <w:szCs w:val="24"/>
          <w:lang w:val="en-US"/>
        </w:rPr>
        <w:t>Illegality Defence and Duty of Care</w:t>
      </w:r>
    </w:p>
    <w:p w:rsidR="00031B97" w:rsidRDefault="00031B97" w:rsidP="00031B97">
      <w:pPr>
        <w:pStyle w:val="BodyText"/>
        <w:rPr>
          <w:b/>
          <w:color w:val="7030A0"/>
          <w:sz w:val="24"/>
          <w:szCs w:val="24"/>
          <w:lang w:val="en-US"/>
        </w:rPr>
      </w:pPr>
      <w:r w:rsidRPr="00031B97">
        <w:rPr>
          <w:b/>
          <w:color w:val="7030A0"/>
          <w:sz w:val="24"/>
          <w:szCs w:val="24"/>
          <w:lang w:val="en-US"/>
        </w:rPr>
        <w:t xml:space="preserve">WEDNESDAY, </w:t>
      </w:r>
      <w:r>
        <w:rPr>
          <w:b/>
          <w:color w:val="7030A0"/>
          <w:sz w:val="24"/>
          <w:szCs w:val="24"/>
          <w:lang w:val="en-US"/>
        </w:rPr>
        <w:t xml:space="preserve">4 June </w:t>
      </w:r>
      <w:r w:rsidRPr="00031B97">
        <w:rPr>
          <w:b/>
          <w:color w:val="7030A0"/>
          <w:sz w:val="24"/>
          <w:szCs w:val="24"/>
          <w:lang w:val="en-US"/>
        </w:rPr>
        <w:t xml:space="preserve">2014 </w:t>
      </w:r>
    </w:p>
    <w:p w:rsidR="00031B97" w:rsidRDefault="00031B97" w:rsidP="00984054">
      <w:pPr>
        <w:pStyle w:val="BodyText"/>
        <w:rPr>
          <w:b/>
          <w:color w:val="C00000"/>
          <w:sz w:val="24"/>
          <w:szCs w:val="24"/>
          <w:lang w:val="en-US"/>
        </w:rPr>
      </w:pPr>
      <w:r w:rsidRPr="00F61D55">
        <w:rPr>
          <w:b/>
          <w:color w:val="C00000"/>
          <w:sz w:val="24"/>
          <w:szCs w:val="24"/>
          <w:lang w:val="en-US"/>
        </w:rPr>
        <w:t>John Morss</w:t>
      </w:r>
    </w:p>
    <w:p w:rsidR="00F61D55" w:rsidRDefault="00F61D55" w:rsidP="00F61D55">
      <w:pPr>
        <w:pStyle w:val="BodyText"/>
        <w:rPr>
          <w:b/>
          <w:color w:val="7030A0"/>
          <w:sz w:val="24"/>
          <w:szCs w:val="24"/>
          <w:lang w:val="en-US"/>
        </w:rPr>
      </w:pPr>
      <w:r w:rsidRPr="00031B97">
        <w:rPr>
          <w:b/>
          <w:color w:val="7030A0"/>
          <w:sz w:val="24"/>
          <w:szCs w:val="24"/>
          <w:lang w:val="en-US"/>
        </w:rPr>
        <w:t xml:space="preserve">WEDNESDAY, </w:t>
      </w:r>
      <w:r>
        <w:rPr>
          <w:b/>
          <w:color w:val="7030A0"/>
          <w:sz w:val="24"/>
          <w:szCs w:val="24"/>
          <w:lang w:val="en-US"/>
        </w:rPr>
        <w:t xml:space="preserve">6 August </w:t>
      </w:r>
      <w:r w:rsidRPr="00031B97">
        <w:rPr>
          <w:b/>
          <w:color w:val="7030A0"/>
          <w:sz w:val="24"/>
          <w:szCs w:val="24"/>
          <w:lang w:val="en-US"/>
        </w:rPr>
        <w:t xml:space="preserve">2014 </w:t>
      </w:r>
    </w:p>
    <w:p w:rsidR="00031B97" w:rsidRPr="00F61D55" w:rsidRDefault="00F61D55" w:rsidP="00984054">
      <w:pPr>
        <w:pStyle w:val="BodyText"/>
        <w:rPr>
          <w:b/>
          <w:color w:val="C00000"/>
          <w:sz w:val="24"/>
          <w:szCs w:val="24"/>
          <w:lang w:val="en-US"/>
        </w:rPr>
      </w:pPr>
      <w:r w:rsidRPr="00F61D55">
        <w:rPr>
          <w:b/>
          <w:color w:val="C00000"/>
          <w:sz w:val="24"/>
          <w:szCs w:val="24"/>
          <w:lang w:val="en-US"/>
        </w:rPr>
        <w:t xml:space="preserve">Richard </w:t>
      </w:r>
      <w:proofErr w:type="spellStart"/>
      <w:r w:rsidRPr="00F61D55">
        <w:rPr>
          <w:b/>
          <w:color w:val="C00000"/>
          <w:sz w:val="24"/>
          <w:szCs w:val="24"/>
          <w:lang w:val="en-US"/>
        </w:rPr>
        <w:t>Polikinghorn</w:t>
      </w:r>
      <w:proofErr w:type="spellEnd"/>
    </w:p>
    <w:p w:rsidR="00F61D55" w:rsidRPr="00366CEA" w:rsidRDefault="00F61D55" w:rsidP="00984054">
      <w:pPr>
        <w:pStyle w:val="BodyText"/>
        <w:rPr>
          <w:b/>
          <w:color w:val="1F497D" w:themeColor="text2"/>
          <w:sz w:val="24"/>
          <w:szCs w:val="24"/>
          <w:lang w:val="en-US"/>
        </w:rPr>
      </w:pPr>
    </w:p>
    <w:p w:rsidR="00063BED" w:rsidRPr="00063BED" w:rsidRDefault="00063BED" w:rsidP="00063BED">
      <w:pPr>
        <w:pStyle w:val="BodyText"/>
        <w:jc w:val="center"/>
        <w:rPr>
          <w:b/>
          <w:color w:val="C00000"/>
          <w:sz w:val="36"/>
          <w:szCs w:val="36"/>
          <w:lang w:val="en-US"/>
        </w:rPr>
      </w:pPr>
      <w:r w:rsidRPr="00063BED">
        <w:rPr>
          <w:b/>
          <w:color w:val="C00000"/>
          <w:sz w:val="36"/>
          <w:szCs w:val="36"/>
          <w:lang w:val="en-US"/>
        </w:rPr>
        <w:t>FUNDING OPPORTUNITIES</w:t>
      </w:r>
    </w:p>
    <w:p w:rsidR="00063BED" w:rsidRDefault="00063BED" w:rsidP="00063BED">
      <w:pPr>
        <w:pStyle w:val="Heading1"/>
        <w:spacing w:after="135" w:line="330" w:lineRule="atLeast"/>
        <w:rPr>
          <w:rFonts w:ascii="Trebuchet MS" w:hAnsi="Trebuchet MS"/>
          <w:color w:val="003871"/>
          <w:sz w:val="33"/>
          <w:szCs w:val="33"/>
        </w:rPr>
      </w:pPr>
      <w:r>
        <w:rPr>
          <w:rFonts w:ascii="Trebuchet MS" w:hAnsi="Trebuchet MS"/>
          <w:color w:val="003871"/>
          <w:sz w:val="33"/>
          <w:szCs w:val="33"/>
        </w:rPr>
        <w:t>Jean Monnet Programme</w:t>
      </w:r>
    </w:p>
    <w:p w:rsidR="00063BED" w:rsidRPr="00063BED" w:rsidRDefault="00063BED" w:rsidP="00063BED">
      <w:pPr>
        <w:pStyle w:val="BodyText"/>
        <w:rPr>
          <w:color w:val="1F497D" w:themeColor="text2"/>
          <w:lang w:val="en-US"/>
        </w:rPr>
      </w:pPr>
      <w:r w:rsidRPr="00063BED">
        <w:rPr>
          <w:color w:val="1F497D" w:themeColor="text2"/>
          <w:lang w:val="en-US"/>
        </w:rPr>
        <w:t xml:space="preserve"> http://eacea.ec.europa.eu/llp/jean_monnet/jean_monnet_en.php</w:t>
      </w:r>
    </w:p>
    <w:p w:rsidR="00063BED" w:rsidRPr="00541936" w:rsidRDefault="00063BED" w:rsidP="00063BED">
      <w:pPr>
        <w:pStyle w:val="BodyText"/>
        <w:rPr>
          <w:color w:val="1F497D" w:themeColor="text2"/>
          <w:lang w:val="en-US"/>
        </w:rPr>
      </w:pPr>
      <w:r>
        <w:rPr>
          <w:color w:val="1F497D" w:themeColor="text2"/>
          <w:lang w:val="en-US"/>
        </w:rPr>
        <w:t>Several funding opportunities are open to non-EU citizens</w:t>
      </w:r>
    </w:p>
    <w:sectPr w:rsidR="00063BED" w:rsidRPr="00541936" w:rsidSect="00EC6F35">
      <w:footerReference w:type="default" r:id="rId9"/>
      <w:headerReference w:type="first" r:id="rId10"/>
      <w:footerReference w:type="first" r:id="rId11"/>
      <w:pgSz w:w="11906" w:h="16838" w:code="9"/>
      <w:pgMar w:top="1440" w:right="1080" w:bottom="1440" w:left="1080" w:header="397" w:footer="22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7E" w:rsidRDefault="00BC6E7E">
      <w:pPr>
        <w:spacing w:after="0" w:line="240" w:lineRule="auto"/>
      </w:pPr>
      <w:r>
        <w:separator/>
      </w:r>
    </w:p>
  </w:endnote>
  <w:endnote w:type="continuationSeparator" w:id="0">
    <w:p w:rsidR="00BC6E7E" w:rsidRDefault="00BC6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D4031" w:rsidP="00E946E5">
    <w:pPr>
      <w:pStyle w:val="NormalBase"/>
    </w:pPr>
    <w:r>
      <w:rPr>
        <w:rFonts w:eastAsia="Times New Roman"/>
        <w:noProof/>
        <w:lang w:val="en-US"/>
      </w:rPr>
      <w:drawing>
        <wp:anchor distT="0" distB="0" distL="114300" distR="114300" simplePos="0" relativeHeight="251663360" behindDoc="1" locked="1" layoutInCell="1" allowOverlap="1" wp14:anchorId="147BA50D" wp14:editId="6677AFFF">
          <wp:simplePos x="0" y="0"/>
          <wp:positionH relativeFrom="page">
            <wp:posOffset>248285</wp:posOffset>
          </wp:positionH>
          <wp:positionV relativeFrom="page">
            <wp:posOffset>9764395</wp:posOffset>
          </wp:positionV>
          <wp:extent cx="7088400" cy="712800"/>
          <wp:effectExtent l="0" t="0" r="0" b="0"/>
          <wp:wrapNone/>
          <wp:docPr id="5" name="Picture 8"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2336" behindDoc="0" locked="1" layoutInCell="1" allowOverlap="1" wp14:anchorId="18A7C665" wp14:editId="7772D4B9">
              <wp:simplePos x="0" y="0"/>
              <wp:positionH relativeFrom="page">
                <wp:posOffset>245110</wp:posOffset>
              </wp:positionH>
              <wp:positionV relativeFrom="page">
                <wp:posOffset>9753600</wp:posOffset>
              </wp:positionV>
              <wp:extent cx="7099200" cy="723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D4031" w:rsidP="00E946E5">
                          <w:pPr>
                            <w:pStyle w:val="FooterReport"/>
                          </w:pPr>
                          <w:r w:rsidRPr="00793852">
                            <w:t xml:space="preserve">School of </w:t>
                          </w:r>
                          <w:r>
                            <w:t>Law</w:t>
                          </w:r>
                          <w:r w:rsidRPr="00793852">
                            <w:t xml:space="preserve"> </w:t>
                          </w:r>
                        </w:p>
                        <w:p w:rsidR="00736438" w:rsidRDefault="009D4031" w:rsidP="00E946E5">
                          <w:pPr>
                            <w:pStyle w:val="FooterReport"/>
                          </w:pPr>
                          <w:r w:rsidRPr="00793852">
                            <w:t xml:space="preserve">Faculty of </w:t>
                          </w:r>
                          <w:r>
                            <w:t>Business and Law</w:t>
                          </w:r>
                        </w:p>
                        <w:p w:rsidR="00736438" w:rsidRPr="00793852" w:rsidRDefault="009D4031" w:rsidP="00E946E5">
                          <w:pPr>
                            <w:pStyle w:val="FooterReport"/>
                          </w:pPr>
                          <w:r w:rsidRPr="00793852">
                            <w:t>Melbourne Burwood Campus, 221 Burwood Highway, Burwood, VIC 3125</w:t>
                          </w:r>
                        </w:p>
                        <w:p w:rsidR="00736438" w:rsidRPr="00793852" w:rsidRDefault="009D4031"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764AE2" w:rsidP="00E94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768pt;width:559pt;height: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iwsg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" filled="f" stroked="f">
              <v:textbox>
                <w:txbxContent>
                  <w:p w:rsidR="00736438" w:rsidRPr="00793852" w:rsidRDefault="009D4031" w:rsidP="00E946E5">
                    <w:pPr>
                      <w:pStyle w:val="FooterReport"/>
                    </w:pPr>
                    <w:r w:rsidRPr="00793852">
                      <w:t xml:space="preserve">School of </w:t>
                    </w:r>
                    <w:r>
                      <w:t>Law</w:t>
                    </w:r>
                    <w:r w:rsidRPr="00793852">
                      <w:t xml:space="preserve"> </w:t>
                    </w:r>
                  </w:p>
                  <w:p w:rsidR="00736438" w:rsidRDefault="009D4031" w:rsidP="00E946E5">
                    <w:pPr>
                      <w:pStyle w:val="FooterReport"/>
                    </w:pPr>
                    <w:r w:rsidRPr="00793852">
                      <w:t xml:space="preserve">Faculty of </w:t>
                    </w:r>
                    <w:r>
                      <w:t>Business and Law</w:t>
                    </w:r>
                  </w:p>
                  <w:p w:rsidR="00736438" w:rsidRPr="00793852" w:rsidRDefault="009D4031" w:rsidP="00E946E5">
                    <w:pPr>
                      <w:pStyle w:val="FooterReport"/>
                    </w:pPr>
                    <w:r w:rsidRPr="00793852">
                      <w:t>Melbourne Burwood Campus, 221 Burwood Highway, Burwood, VIC 3125</w:t>
                    </w:r>
                  </w:p>
                  <w:p w:rsidR="00736438" w:rsidRPr="00793852" w:rsidRDefault="009D4031" w:rsidP="00E946E5">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605251" w:rsidP="00E946E5"/>
                </w:txbxContent>
              </v:textbox>
              <w10:wrap anchorx="page" anchory="page"/>
              <w10:anchorlock/>
            </v:shape>
          </w:pict>
        </mc:Fallback>
      </mc:AlternateContent>
    </w:r>
  </w:p>
  <w:p w:rsidR="00736438" w:rsidRPr="007C0F1B" w:rsidRDefault="009D4031" w:rsidP="00E946E5">
    <w:pPr>
      <w:pStyle w:val="FooterCode"/>
    </w:pPr>
    <w:r>
      <w:t>Deakin University CRICOS Provider Code: 00113B</w:t>
    </w:r>
  </w:p>
  <w:p w:rsidR="00736438" w:rsidRPr="00E946E5" w:rsidRDefault="00764AE2" w:rsidP="00E946E5">
    <w:pPr>
      <w:pStyle w:val="FooterBas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Pr="007C0F1B" w:rsidRDefault="009D4031" w:rsidP="00C27889">
    <w:pPr>
      <w:pStyle w:val="NormalBase"/>
    </w:pPr>
    <w:r>
      <w:rPr>
        <w:rFonts w:eastAsia="Times New Roman"/>
        <w:noProof/>
        <w:lang w:val="en-US"/>
      </w:rPr>
      <w:drawing>
        <wp:anchor distT="0" distB="0" distL="114300" distR="114300" simplePos="0" relativeHeight="251661312" behindDoc="1" locked="1" layoutInCell="1" allowOverlap="1" wp14:anchorId="6101C51F" wp14:editId="1BF4193F">
          <wp:simplePos x="0" y="0"/>
          <wp:positionH relativeFrom="page">
            <wp:posOffset>248285</wp:posOffset>
          </wp:positionH>
          <wp:positionV relativeFrom="page">
            <wp:posOffset>9764395</wp:posOffset>
          </wp:positionV>
          <wp:extent cx="7088400" cy="712800"/>
          <wp:effectExtent l="0" t="0" r="0" b="0"/>
          <wp:wrapNone/>
          <wp:docPr id="7" name="Picture 7" descr="Orange Banner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ange Banner 1-3.png"/>
                  <pic:cNvPicPr preferRelativeResize="0"/>
                </pic:nvPicPr>
                <pic:blipFill>
                  <a:blip r:embed="rId1"/>
                  <a:stretch>
                    <a:fillRect/>
                  </a:stretch>
                </pic:blipFill>
                <pic:spPr>
                  <a:xfrm>
                    <a:off x="0" y="0"/>
                    <a:ext cx="70884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1" layoutInCell="1" allowOverlap="1" wp14:anchorId="7E793756" wp14:editId="0B4CD9F4">
              <wp:simplePos x="0" y="0"/>
              <wp:positionH relativeFrom="page">
                <wp:posOffset>245110</wp:posOffset>
              </wp:positionH>
              <wp:positionV relativeFrom="page">
                <wp:posOffset>9753600</wp:posOffset>
              </wp:positionV>
              <wp:extent cx="7099200" cy="72360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200" cy="72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438" w:rsidRPr="00793852" w:rsidRDefault="009D4031" w:rsidP="00793852">
                          <w:pPr>
                            <w:pStyle w:val="FooterReport"/>
                          </w:pPr>
                          <w:r w:rsidRPr="00793852">
                            <w:t xml:space="preserve">School of </w:t>
                          </w:r>
                          <w:r>
                            <w:t>Law</w:t>
                          </w:r>
                        </w:p>
                        <w:p w:rsidR="00736438" w:rsidRPr="00793852" w:rsidRDefault="009D4031" w:rsidP="00793852">
                          <w:pPr>
                            <w:pStyle w:val="FooterReport"/>
                          </w:pPr>
                          <w:r w:rsidRPr="00793852">
                            <w:t xml:space="preserve">Faculty of </w:t>
                          </w:r>
                          <w:r>
                            <w:t xml:space="preserve">Business </w:t>
                          </w:r>
                          <w:r w:rsidRPr="00793852">
                            <w:t xml:space="preserve">and </w:t>
                          </w:r>
                          <w:r>
                            <w:t>Law</w:t>
                          </w:r>
                        </w:p>
                        <w:p w:rsidR="00736438" w:rsidRPr="00793852" w:rsidRDefault="009D4031" w:rsidP="00793852">
                          <w:pPr>
                            <w:pStyle w:val="FooterReport"/>
                          </w:pPr>
                          <w:r w:rsidRPr="00793852">
                            <w:t>Melbourne Burwood Campus, 221 Burwood Highway, Burwood, VIC 3125</w:t>
                          </w:r>
                        </w:p>
                        <w:p w:rsidR="00736438" w:rsidRPr="00793852" w:rsidRDefault="009D4031"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764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9.3pt;margin-top:768pt;width:559pt;height: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" filled="f" stroked="f">
              <v:textbox>
                <w:txbxContent>
                  <w:p w:rsidR="00736438" w:rsidRPr="00793852" w:rsidRDefault="009D4031" w:rsidP="00793852">
                    <w:pPr>
                      <w:pStyle w:val="FooterReport"/>
                    </w:pPr>
                    <w:r w:rsidRPr="00793852">
                      <w:t xml:space="preserve">School of </w:t>
                    </w:r>
                    <w:r>
                      <w:t>Law</w:t>
                    </w:r>
                  </w:p>
                  <w:p w:rsidR="00736438" w:rsidRPr="00793852" w:rsidRDefault="009D4031" w:rsidP="00793852">
                    <w:pPr>
                      <w:pStyle w:val="FooterReport"/>
                    </w:pPr>
                    <w:r w:rsidRPr="00793852">
                      <w:t xml:space="preserve">Faculty of </w:t>
                    </w:r>
                    <w:r>
                      <w:t xml:space="preserve">Business </w:t>
                    </w:r>
                    <w:r w:rsidRPr="00793852">
                      <w:t xml:space="preserve">and </w:t>
                    </w:r>
                    <w:r>
                      <w:t>Law</w:t>
                    </w:r>
                  </w:p>
                  <w:p w:rsidR="00736438" w:rsidRPr="00793852" w:rsidRDefault="009D4031" w:rsidP="00793852">
                    <w:pPr>
                      <w:pStyle w:val="FooterReport"/>
                    </w:pPr>
                    <w:r w:rsidRPr="00793852">
                      <w:t>Melbourne Burwood Campus, 221 Burwood Highway, Burwood, VIC 3125</w:t>
                    </w:r>
                  </w:p>
                  <w:p w:rsidR="00736438" w:rsidRPr="00793852" w:rsidRDefault="009D4031" w:rsidP="00793852">
                    <w:pPr>
                      <w:pStyle w:val="FooterReport"/>
                    </w:pPr>
                    <w:r w:rsidRPr="00793852">
                      <w:t xml:space="preserve">Tel 03 </w:t>
                    </w:r>
                    <w:r>
                      <w:t xml:space="preserve">5227 7215 </w:t>
                    </w:r>
                    <w:proofErr w:type="gramStart"/>
                    <w:r>
                      <w:t>natalie.ward@</w:t>
                    </w:r>
                    <w:r w:rsidRPr="00793852">
                      <w:t>deakin.edu.au  www.deakin.edu.au</w:t>
                    </w:r>
                    <w:proofErr w:type="gramEnd"/>
                  </w:p>
                  <w:p w:rsidR="00736438" w:rsidRDefault="00605251"/>
                </w:txbxContent>
              </v:textbox>
              <w10:wrap anchorx="page" anchory="page"/>
              <w10:anchorlock/>
            </v:shape>
          </w:pict>
        </mc:Fallback>
      </mc:AlternateContent>
    </w:r>
  </w:p>
  <w:p w:rsidR="00736438" w:rsidRPr="007C0F1B" w:rsidRDefault="009D4031" w:rsidP="008B402F">
    <w:pPr>
      <w:pStyle w:val="FooterCode"/>
    </w:pPr>
    <w:r>
      <w:t>Deakin University CRICOS Provider Code: 00113B</w:t>
    </w:r>
  </w:p>
  <w:p w:rsidR="00736438" w:rsidRPr="007C0F1B" w:rsidRDefault="00764AE2" w:rsidP="008B402F">
    <w:pPr>
      <w:pStyle w:val="FooterBas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7E" w:rsidRDefault="00BC6E7E">
      <w:pPr>
        <w:spacing w:after="0" w:line="240" w:lineRule="auto"/>
      </w:pPr>
      <w:r>
        <w:separator/>
      </w:r>
    </w:p>
  </w:footnote>
  <w:footnote w:type="continuationSeparator" w:id="0">
    <w:p w:rsidR="00BC6E7E" w:rsidRDefault="00BC6E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438" w:rsidRDefault="009D4031" w:rsidP="00A42BB8">
    <w:pPr>
      <w:pStyle w:val="NormalBase"/>
      <w:keepNext/>
    </w:pPr>
    <w:r>
      <w:rPr>
        <w:noProof/>
        <w:lang w:val="en-US"/>
      </w:rPr>
      <w:drawing>
        <wp:anchor distT="0" distB="0" distL="114300" distR="114300" simplePos="0" relativeHeight="251660288" behindDoc="0" locked="0" layoutInCell="1" allowOverlap="1" wp14:anchorId="0B57BAB7" wp14:editId="3FA2BB8C">
          <wp:simplePos x="0" y="0"/>
          <wp:positionH relativeFrom="page">
            <wp:posOffset>3086100</wp:posOffset>
          </wp:positionH>
          <wp:positionV relativeFrom="page">
            <wp:posOffset>257175</wp:posOffset>
          </wp:positionV>
          <wp:extent cx="1333500" cy="1333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kin_Worldly_Logo_Key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14:sizeRelH relativeFrom="margin">
            <wp14:pctWidth>0</wp14:pctWidth>
          </wp14:sizeRelH>
          <wp14:sizeRelV relativeFrom="margin">
            <wp14:pctHeight>0</wp14:pctHeight>
          </wp14:sizeRelV>
        </wp:anchor>
      </w:drawing>
    </w:r>
  </w:p>
  <w:p w:rsidR="00736438" w:rsidRDefault="00764AE2" w:rsidP="00A42BB8">
    <w:pPr>
      <w:pStyle w:val="NormalBase"/>
      <w:keepNext/>
    </w:pPr>
  </w:p>
  <w:p w:rsidR="00736438" w:rsidRDefault="00764AE2" w:rsidP="00A42BB8">
    <w:pPr>
      <w:pStyle w:val="NormalBase"/>
      <w:keepNext/>
    </w:pPr>
  </w:p>
  <w:p w:rsidR="00736438" w:rsidRDefault="00764AE2" w:rsidP="00A42BB8">
    <w:pPr>
      <w:pStyle w:val="NormalBase"/>
      <w:keepNext/>
    </w:pPr>
  </w:p>
  <w:p w:rsidR="00736438" w:rsidRDefault="00764AE2" w:rsidP="00A42BB8">
    <w:pPr>
      <w:pStyle w:val="NormalBase"/>
      <w:keepNext/>
    </w:pPr>
  </w:p>
  <w:p w:rsidR="00736438" w:rsidRDefault="00764AE2" w:rsidP="00A42BB8">
    <w:pPr>
      <w:pStyle w:val="NormalBase"/>
      <w:keepNext/>
    </w:pPr>
  </w:p>
  <w:p w:rsidR="00736438" w:rsidRDefault="00764AE2" w:rsidP="00A42BB8">
    <w:pPr>
      <w:pStyle w:val="NormalBase"/>
      <w:keepNext/>
    </w:pPr>
  </w:p>
  <w:p w:rsidR="00736438" w:rsidRDefault="00764AE2" w:rsidP="00A42BB8">
    <w:pPr>
      <w:pStyle w:val="NormalBase"/>
      <w:keepNext/>
    </w:pPr>
  </w:p>
  <w:p w:rsidR="00736438" w:rsidRDefault="00764AE2" w:rsidP="00A42BB8">
    <w:pPr>
      <w:pStyle w:val="NormalBase"/>
      <w:keepNext/>
    </w:pPr>
  </w:p>
  <w:p w:rsidR="00736438" w:rsidRDefault="00764AE2" w:rsidP="00825D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3287"/>
    <w:multiLevelType w:val="hybridMultilevel"/>
    <w:tmpl w:val="28EA2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E933F84"/>
    <w:multiLevelType w:val="multilevel"/>
    <w:tmpl w:val="68A29A94"/>
    <w:name w:val="CSHeadings"/>
    <w:lvl w:ilvl="0">
      <w:start w:val="1"/>
      <w:numFmt w:val="none"/>
      <w:lvlRestart w:val="0"/>
      <w:pStyle w:val="Heading1"/>
      <w:suff w:val="nothing"/>
      <w:lvlText w:val=""/>
      <w:lvlJc w:val="left"/>
      <w:pPr>
        <w:tabs>
          <w:tab w:val="num" w:pos="1134"/>
        </w:tabs>
        <w:ind w:left="1134" w:firstLine="0"/>
      </w:pPr>
    </w:lvl>
    <w:lvl w:ilvl="1">
      <w:start w:val="1"/>
      <w:numFmt w:val="none"/>
      <w:lvlRestart w:val="0"/>
      <w:pStyle w:val="Heading2"/>
      <w:suff w:val="nothing"/>
      <w:lvlText w:val=""/>
      <w:lvlJc w:val="left"/>
      <w:pPr>
        <w:tabs>
          <w:tab w:val="num" w:pos="1134"/>
        </w:tabs>
        <w:ind w:left="1134" w:firstLine="0"/>
      </w:pPr>
    </w:lvl>
    <w:lvl w:ilvl="2">
      <w:start w:val="1"/>
      <w:numFmt w:val="none"/>
      <w:lvlRestart w:val="0"/>
      <w:pStyle w:val="Heading3"/>
      <w:suff w:val="nothing"/>
      <w:lvlText w:val=""/>
      <w:lvlJc w:val="left"/>
      <w:pPr>
        <w:tabs>
          <w:tab w:val="num" w:pos="1134"/>
        </w:tabs>
        <w:ind w:left="1134" w:firstLine="0"/>
      </w:pPr>
    </w:lvl>
    <w:lvl w:ilvl="3">
      <w:start w:val="1"/>
      <w:numFmt w:val="none"/>
      <w:lvlRestart w:val="0"/>
      <w:pStyle w:val="Heading4"/>
      <w:suff w:val="nothing"/>
      <w:lvlText w:val=""/>
      <w:lvlJc w:val="left"/>
      <w:pPr>
        <w:tabs>
          <w:tab w:val="num" w:pos="1134"/>
        </w:tabs>
        <w:ind w:left="1134" w:firstLine="0"/>
      </w:pPr>
    </w:lvl>
    <w:lvl w:ilvl="4">
      <w:start w:val="1"/>
      <w:numFmt w:val="none"/>
      <w:lvlRestart w:val="0"/>
      <w:pStyle w:val="Heading5"/>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31"/>
    <w:rsid w:val="00031B97"/>
    <w:rsid w:val="00063BED"/>
    <w:rsid w:val="00074A41"/>
    <w:rsid w:val="000B0E81"/>
    <w:rsid w:val="000D5514"/>
    <w:rsid w:val="00134B2F"/>
    <w:rsid w:val="0019410C"/>
    <w:rsid w:val="001A4B6A"/>
    <w:rsid w:val="002801FA"/>
    <w:rsid w:val="00322872"/>
    <w:rsid w:val="00366CEA"/>
    <w:rsid w:val="0042184F"/>
    <w:rsid w:val="0042493C"/>
    <w:rsid w:val="0046739B"/>
    <w:rsid w:val="00535734"/>
    <w:rsid w:val="00541936"/>
    <w:rsid w:val="00605251"/>
    <w:rsid w:val="006B0499"/>
    <w:rsid w:val="00764AE2"/>
    <w:rsid w:val="007C7B10"/>
    <w:rsid w:val="00842856"/>
    <w:rsid w:val="008A5A2F"/>
    <w:rsid w:val="008C0133"/>
    <w:rsid w:val="00902574"/>
    <w:rsid w:val="00917E47"/>
    <w:rsid w:val="00984054"/>
    <w:rsid w:val="009D4031"/>
    <w:rsid w:val="00A916AB"/>
    <w:rsid w:val="00BC31F6"/>
    <w:rsid w:val="00BC6E7E"/>
    <w:rsid w:val="00C95405"/>
    <w:rsid w:val="00C9656A"/>
    <w:rsid w:val="00CC7326"/>
    <w:rsid w:val="00D83595"/>
    <w:rsid w:val="00D902A9"/>
    <w:rsid w:val="00E14CC2"/>
    <w:rsid w:val="00E33432"/>
    <w:rsid w:val="00F61D55"/>
    <w:rsid w:val="00F91BFB"/>
    <w:rsid w:val="00FE12FC"/>
    <w:rsid w:val="00FE38F9"/>
    <w:rsid w:val="00FF7B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1"/>
  </w:style>
  <w:style w:type="paragraph" w:styleId="Heading1">
    <w:name w:val="heading 1"/>
    <w:basedOn w:val="Normal"/>
    <w:next w:val="BodyText"/>
    <w:link w:val="Heading1Char"/>
    <w:unhideWhenUsed/>
    <w:qFormat/>
    <w:rsid w:val="009D4031"/>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9D4031"/>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9D4031"/>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9D4031"/>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9D4031"/>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031"/>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9D4031"/>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9D4031"/>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9D4031"/>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9D4031"/>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9D40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031"/>
  </w:style>
  <w:style w:type="paragraph" w:customStyle="1" w:styleId="NormalBase">
    <w:name w:val="Normal Base"/>
    <w:rsid w:val="009D4031"/>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9D4031"/>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9D4031"/>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9D4031"/>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9D4031"/>
    <w:rPr>
      <w:color w:val="0000FF" w:themeColor="hyperlink"/>
      <w:u w:val="single"/>
    </w:rPr>
  </w:style>
  <w:style w:type="paragraph" w:styleId="BodyText">
    <w:name w:val="Body Text"/>
    <w:basedOn w:val="Normal"/>
    <w:link w:val="BodyTextChar"/>
    <w:uiPriority w:val="99"/>
    <w:semiHidden/>
    <w:unhideWhenUsed/>
    <w:rsid w:val="009D4031"/>
    <w:pPr>
      <w:spacing w:after="120"/>
    </w:pPr>
  </w:style>
  <w:style w:type="character" w:customStyle="1" w:styleId="BodyTextChar">
    <w:name w:val="Body Text Char"/>
    <w:basedOn w:val="DefaultParagraphFont"/>
    <w:link w:val="BodyText"/>
    <w:uiPriority w:val="99"/>
    <w:semiHidden/>
    <w:rsid w:val="009D4031"/>
  </w:style>
  <w:style w:type="paragraph" w:styleId="BalloonText">
    <w:name w:val="Balloon Text"/>
    <w:basedOn w:val="Normal"/>
    <w:link w:val="BalloonTextChar"/>
    <w:uiPriority w:val="99"/>
    <w:semiHidden/>
    <w:unhideWhenUsed/>
    <w:rsid w:val="009D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31"/>
    <w:rPr>
      <w:rFonts w:ascii="Tahoma" w:hAnsi="Tahoma" w:cs="Tahoma"/>
      <w:sz w:val="16"/>
      <w:szCs w:val="16"/>
    </w:rPr>
  </w:style>
  <w:style w:type="paragraph" w:styleId="NormalWeb">
    <w:name w:val="Normal (Web)"/>
    <w:basedOn w:val="Normal"/>
    <w:uiPriority w:val="99"/>
    <w:semiHidden/>
    <w:unhideWhenUsed/>
    <w:rsid w:val="00CC7326"/>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CC732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1"/>
  </w:style>
  <w:style w:type="paragraph" w:styleId="Heading1">
    <w:name w:val="heading 1"/>
    <w:basedOn w:val="Normal"/>
    <w:next w:val="BodyText"/>
    <w:link w:val="Heading1Char"/>
    <w:unhideWhenUsed/>
    <w:qFormat/>
    <w:rsid w:val="009D4031"/>
    <w:pPr>
      <w:keepNext/>
      <w:keepLines/>
      <w:numPr>
        <w:numId w:val="1"/>
      </w:numPr>
      <w:tabs>
        <w:tab w:val="clear" w:pos="1134"/>
      </w:tabs>
      <w:spacing w:after="400" w:line="320" w:lineRule="atLeast"/>
      <w:outlineLvl w:val="0"/>
    </w:pPr>
    <w:rPr>
      <w:rFonts w:ascii="Calibri" w:eastAsiaTheme="majorEastAsia" w:hAnsi="Calibri" w:cs="Calibri"/>
      <w:bCs/>
      <w:color w:val="000000"/>
      <w:spacing w:val="20"/>
      <w:sz w:val="32"/>
      <w:szCs w:val="28"/>
      <w:u w:color="000000"/>
    </w:rPr>
  </w:style>
  <w:style w:type="paragraph" w:styleId="Heading2">
    <w:name w:val="heading 2"/>
    <w:basedOn w:val="Heading1"/>
    <w:next w:val="BodyText"/>
    <w:link w:val="Heading2Char"/>
    <w:unhideWhenUsed/>
    <w:qFormat/>
    <w:rsid w:val="009D4031"/>
    <w:pPr>
      <w:numPr>
        <w:ilvl w:val="1"/>
      </w:numPr>
      <w:tabs>
        <w:tab w:val="clear" w:pos="1134"/>
      </w:tabs>
      <w:spacing w:before="320" w:line="280" w:lineRule="atLeast"/>
      <w:outlineLvl w:val="1"/>
    </w:pPr>
    <w:rPr>
      <w:b/>
      <w:bCs w:val="0"/>
      <w:spacing w:val="0"/>
      <w:sz w:val="24"/>
      <w:szCs w:val="26"/>
    </w:rPr>
  </w:style>
  <w:style w:type="paragraph" w:styleId="Heading3">
    <w:name w:val="heading 3"/>
    <w:basedOn w:val="Heading2"/>
    <w:next w:val="BodyText"/>
    <w:link w:val="Heading3Char"/>
    <w:unhideWhenUsed/>
    <w:qFormat/>
    <w:rsid w:val="009D4031"/>
    <w:pPr>
      <w:numPr>
        <w:ilvl w:val="2"/>
      </w:numPr>
      <w:tabs>
        <w:tab w:val="clear" w:pos="1134"/>
      </w:tabs>
      <w:spacing w:before="240"/>
      <w:outlineLvl w:val="2"/>
    </w:pPr>
    <w:rPr>
      <w:bCs/>
      <w:sz w:val="20"/>
    </w:rPr>
  </w:style>
  <w:style w:type="paragraph" w:styleId="Heading4">
    <w:name w:val="heading 4"/>
    <w:basedOn w:val="Heading3"/>
    <w:next w:val="BodyText"/>
    <w:link w:val="Heading4Char"/>
    <w:uiPriority w:val="9"/>
    <w:unhideWhenUsed/>
    <w:qFormat/>
    <w:rsid w:val="009D4031"/>
    <w:pPr>
      <w:numPr>
        <w:ilvl w:val="3"/>
      </w:numPr>
      <w:tabs>
        <w:tab w:val="clear" w:pos="1134"/>
      </w:tabs>
      <w:outlineLvl w:val="3"/>
    </w:pPr>
    <w:rPr>
      <w:bCs w:val="0"/>
      <w:iCs/>
      <w:color w:val="5A4A61"/>
    </w:rPr>
  </w:style>
  <w:style w:type="paragraph" w:styleId="Heading5">
    <w:name w:val="heading 5"/>
    <w:basedOn w:val="Heading4"/>
    <w:next w:val="BodyText"/>
    <w:link w:val="Heading5Char"/>
    <w:uiPriority w:val="9"/>
    <w:semiHidden/>
    <w:unhideWhenUsed/>
    <w:qFormat/>
    <w:rsid w:val="009D4031"/>
    <w:pPr>
      <w:numPr>
        <w:ilvl w:val="4"/>
      </w:numPr>
      <w:tabs>
        <w:tab w:val="left" w:pos="1502"/>
      </w:tabs>
      <w:spacing w:before="120"/>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4031"/>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rsid w:val="009D4031"/>
    <w:rPr>
      <w:rFonts w:ascii="Calibri" w:eastAsiaTheme="majorEastAsia" w:hAnsi="Calibri" w:cs="Calibri"/>
      <w:b/>
      <w:color w:val="000000"/>
      <w:sz w:val="24"/>
      <w:szCs w:val="26"/>
      <w:u w:color="000000"/>
    </w:rPr>
  </w:style>
  <w:style w:type="character" w:customStyle="1" w:styleId="Heading3Char">
    <w:name w:val="Heading 3 Char"/>
    <w:basedOn w:val="DefaultParagraphFont"/>
    <w:link w:val="Heading3"/>
    <w:rsid w:val="009D4031"/>
    <w:rPr>
      <w:rFonts w:ascii="Calibri" w:eastAsiaTheme="majorEastAsia" w:hAnsi="Calibri" w:cs="Calibri"/>
      <w:b/>
      <w:bCs/>
      <w:color w:val="000000"/>
      <w:sz w:val="20"/>
      <w:szCs w:val="26"/>
      <w:u w:color="000000"/>
    </w:rPr>
  </w:style>
  <w:style w:type="character" w:customStyle="1" w:styleId="Heading4Char">
    <w:name w:val="Heading 4 Char"/>
    <w:basedOn w:val="DefaultParagraphFont"/>
    <w:link w:val="Heading4"/>
    <w:uiPriority w:val="9"/>
    <w:rsid w:val="009D4031"/>
    <w:rPr>
      <w:rFonts w:ascii="Calibri" w:eastAsiaTheme="majorEastAsia" w:hAnsi="Calibri" w:cs="Calibri"/>
      <w:b/>
      <w:iCs/>
      <w:color w:val="5A4A61"/>
      <w:sz w:val="20"/>
      <w:szCs w:val="26"/>
      <w:u w:color="000000"/>
    </w:rPr>
  </w:style>
  <w:style w:type="character" w:customStyle="1" w:styleId="Heading5Char">
    <w:name w:val="Heading 5 Char"/>
    <w:basedOn w:val="DefaultParagraphFont"/>
    <w:link w:val="Heading5"/>
    <w:uiPriority w:val="9"/>
    <w:semiHidden/>
    <w:rsid w:val="009D4031"/>
    <w:rPr>
      <w:rFonts w:ascii="Calibri" w:eastAsiaTheme="majorEastAsia" w:hAnsi="Calibri" w:cs="Calibri"/>
      <w:b/>
      <w:iCs/>
      <w:color w:val="000000"/>
      <w:sz w:val="20"/>
      <w:szCs w:val="26"/>
      <w:u w:color="000000"/>
    </w:rPr>
  </w:style>
  <w:style w:type="paragraph" w:styleId="Header">
    <w:name w:val="header"/>
    <w:basedOn w:val="Normal"/>
    <w:link w:val="HeaderChar"/>
    <w:uiPriority w:val="99"/>
    <w:semiHidden/>
    <w:unhideWhenUsed/>
    <w:rsid w:val="009D40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4031"/>
  </w:style>
  <w:style w:type="paragraph" w:customStyle="1" w:styleId="NormalBase">
    <w:name w:val="Normal Base"/>
    <w:rsid w:val="009D4031"/>
    <w:pPr>
      <w:spacing w:after="0" w:line="240" w:lineRule="auto"/>
    </w:pPr>
    <w:rPr>
      <w:rFonts w:ascii="Calibri" w:hAnsi="Calibri" w:cs="Calibri"/>
      <w:color w:val="000000"/>
      <w:sz w:val="20"/>
      <w:u w:color="000000"/>
    </w:rPr>
  </w:style>
  <w:style w:type="paragraph" w:customStyle="1" w:styleId="FooterReport">
    <w:name w:val="Footer: Report"/>
    <w:basedOn w:val="Normal"/>
    <w:semiHidden/>
    <w:unhideWhenUsed/>
    <w:rsid w:val="009D4031"/>
    <w:pPr>
      <w:tabs>
        <w:tab w:val="center" w:pos="5329"/>
      </w:tabs>
      <w:spacing w:after="0" w:line="240" w:lineRule="auto"/>
      <w:jc w:val="center"/>
    </w:pPr>
    <w:rPr>
      <w:rFonts w:ascii="Calibri" w:hAnsi="Calibri" w:cs="Calibri"/>
      <w:b/>
      <w:color w:val="FFFFFF"/>
      <w:sz w:val="20"/>
      <w:u w:color="000000"/>
    </w:rPr>
  </w:style>
  <w:style w:type="paragraph" w:customStyle="1" w:styleId="FooterCode">
    <w:name w:val="Footer: Code"/>
    <w:basedOn w:val="Normal"/>
    <w:qFormat/>
    <w:rsid w:val="009D4031"/>
    <w:pPr>
      <w:spacing w:before="560" w:after="1080" w:line="240" w:lineRule="auto"/>
      <w:ind w:right="-992"/>
      <w:jc w:val="right"/>
    </w:pPr>
    <w:rPr>
      <w:rFonts w:ascii="Calibri" w:hAnsi="Calibri" w:cs="Calibri"/>
      <w:color w:val="000000"/>
      <w:sz w:val="14"/>
      <w:u w:color="000000"/>
    </w:rPr>
  </w:style>
  <w:style w:type="paragraph" w:customStyle="1" w:styleId="FooterBase">
    <w:name w:val="Footer: Base"/>
    <w:basedOn w:val="Normal"/>
    <w:qFormat/>
    <w:rsid w:val="009D4031"/>
    <w:pPr>
      <w:spacing w:after="0" w:line="240" w:lineRule="auto"/>
    </w:pPr>
    <w:rPr>
      <w:rFonts w:ascii="Times New Roman" w:eastAsiaTheme="minorEastAsia" w:hAnsi="Times New Roman" w:cs="Times New Roman"/>
      <w:sz w:val="14"/>
      <w:szCs w:val="24"/>
      <w:u w:color="000000"/>
      <w:lang w:val="en-US"/>
    </w:rPr>
  </w:style>
  <w:style w:type="character" w:styleId="Hyperlink">
    <w:name w:val="Hyperlink"/>
    <w:basedOn w:val="DefaultParagraphFont"/>
    <w:uiPriority w:val="99"/>
    <w:unhideWhenUsed/>
    <w:rsid w:val="009D4031"/>
    <w:rPr>
      <w:color w:val="0000FF" w:themeColor="hyperlink"/>
      <w:u w:val="single"/>
    </w:rPr>
  </w:style>
  <w:style w:type="paragraph" w:styleId="BodyText">
    <w:name w:val="Body Text"/>
    <w:basedOn w:val="Normal"/>
    <w:link w:val="BodyTextChar"/>
    <w:uiPriority w:val="99"/>
    <w:semiHidden/>
    <w:unhideWhenUsed/>
    <w:rsid w:val="009D4031"/>
    <w:pPr>
      <w:spacing w:after="120"/>
    </w:pPr>
  </w:style>
  <w:style w:type="character" w:customStyle="1" w:styleId="BodyTextChar">
    <w:name w:val="Body Text Char"/>
    <w:basedOn w:val="DefaultParagraphFont"/>
    <w:link w:val="BodyText"/>
    <w:uiPriority w:val="99"/>
    <w:semiHidden/>
    <w:rsid w:val="009D4031"/>
  </w:style>
  <w:style w:type="paragraph" w:styleId="BalloonText">
    <w:name w:val="Balloon Text"/>
    <w:basedOn w:val="Normal"/>
    <w:link w:val="BalloonTextChar"/>
    <w:uiPriority w:val="99"/>
    <w:semiHidden/>
    <w:unhideWhenUsed/>
    <w:rsid w:val="009D4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031"/>
    <w:rPr>
      <w:rFonts w:ascii="Tahoma" w:hAnsi="Tahoma" w:cs="Tahoma"/>
      <w:sz w:val="16"/>
      <w:szCs w:val="16"/>
    </w:rPr>
  </w:style>
  <w:style w:type="paragraph" w:styleId="NormalWeb">
    <w:name w:val="Normal (Web)"/>
    <w:basedOn w:val="Normal"/>
    <w:uiPriority w:val="99"/>
    <w:semiHidden/>
    <w:unhideWhenUsed/>
    <w:rsid w:val="00CC7326"/>
    <w:pPr>
      <w:spacing w:after="0"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CC73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44503">
      <w:bodyDiv w:val="1"/>
      <w:marLeft w:val="0"/>
      <w:marRight w:val="0"/>
      <w:marTop w:val="0"/>
      <w:marBottom w:val="0"/>
      <w:divBdr>
        <w:top w:val="none" w:sz="0" w:space="0" w:color="auto"/>
        <w:left w:val="none" w:sz="0" w:space="0" w:color="auto"/>
        <w:bottom w:val="none" w:sz="0" w:space="0" w:color="auto"/>
        <w:right w:val="none" w:sz="0" w:space="0" w:color="auto"/>
      </w:divBdr>
    </w:div>
    <w:div w:id="1016999654">
      <w:bodyDiv w:val="1"/>
      <w:marLeft w:val="0"/>
      <w:marRight w:val="0"/>
      <w:marTop w:val="0"/>
      <w:marBottom w:val="0"/>
      <w:divBdr>
        <w:top w:val="none" w:sz="0" w:space="0" w:color="auto"/>
        <w:left w:val="none" w:sz="0" w:space="0" w:color="auto"/>
        <w:bottom w:val="none" w:sz="0" w:space="0" w:color="auto"/>
        <w:right w:val="none" w:sz="0" w:space="0" w:color="auto"/>
      </w:divBdr>
    </w:div>
    <w:div w:id="17762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doi/10.1111/jorh.2013.37.issue-4/issuetoc" TargetMode="Externa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Samantha Hepburn</cp:lastModifiedBy>
  <cp:revision>2</cp:revision>
  <dcterms:created xsi:type="dcterms:W3CDTF">2014-10-08T05:19:00Z</dcterms:created>
  <dcterms:modified xsi:type="dcterms:W3CDTF">2014-10-08T05:19:00Z</dcterms:modified>
</cp:coreProperties>
</file>