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5D3" w:rsidRPr="00EA283C" w:rsidRDefault="00B965D3" w:rsidP="00B965D3">
      <w:pPr>
        <w:keepLines/>
        <w:spacing w:before="40" w:after="120" w:line="280" w:lineRule="atLeast"/>
        <w:ind w:left="414" w:firstLine="720"/>
        <w:jc w:val="center"/>
        <w:rPr>
          <w:rFonts w:eastAsiaTheme="minorEastAsia" w:cstheme="minorHAnsi"/>
          <w:b/>
          <w:color w:val="002060"/>
          <w:sz w:val="44"/>
          <w:szCs w:val="44"/>
          <w:u w:color="000000"/>
          <w:lang w:val="en-US"/>
        </w:rPr>
      </w:pPr>
      <w:bookmarkStart w:id="0" w:name="_GoBack"/>
      <w:bookmarkEnd w:id="0"/>
      <w:r w:rsidRPr="00EA283C">
        <w:rPr>
          <w:rFonts w:eastAsiaTheme="majorEastAsia" w:cstheme="minorHAnsi"/>
          <w:b/>
          <w:bCs/>
          <w:color w:val="002060"/>
          <w:spacing w:val="20"/>
          <w:sz w:val="44"/>
          <w:szCs w:val="44"/>
          <w:u w:color="000000"/>
        </w:rPr>
        <w:t>DEAKIN UNIVERSITY</w:t>
      </w:r>
    </w:p>
    <w:p w:rsidR="00B965D3" w:rsidRPr="00EA283C" w:rsidRDefault="00B965D3" w:rsidP="00B965D3">
      <w:pPr>
        <w:keepLines/>
        <w:spacing w:before="40" w:after="120" w:line="280" w:lineRule="atLeast"/>
        <w:ind w:left="414" w:firstLine="720"/>
        <w:jc w:val="center"/>
        <w:rPr>
          <w:rFonts w:eastAsiaTheme="minorEastAsia" w:cstheme="minorHAnsi"/>
          <w:b/>
          <w:color w:val="002060"/>
          <w:sz w:val="40"/>
          <w:szCs w:val="40"/>
          <w:u w:color="000000"/>
          <w:lang w:val="en-US"/>
        </w:rPr>
      </w:pPr>
      <w:r w:rsidRPr="00EA283C">
        <w:rPr>
          <w:rFonts w:eastAsiaTheme="majorEastAsia" w:cstheme="minorHAnsi"/>
          <w:b/>
          <w:bCs/>
          <w:color w:val="002060"/>
          <w:spacing w:val="20"/>
          <w:sz w:val="40"/>
          <w:szCs w:val="40"/>
          <w:u w:color="000000"/>
        </w:rPr>
        <w:t>SCH</w:t>
      </w:r>
      <w:r>
        <w:rPr>
          <w:rFonts w:eastAsiaTheme="majorEastAsia" w:cstheme="minorHAnsi"/>
          <w:b/>
          <w:bCs/>
          <w:color w:val="002060"/>
          <w:spacing w:val="20"/>
          <w:sz w:val="40"/>
          <w:szCs w:val="40"/>
          <w:u w:color="000000"/>
        </w:rPr>
        <w:t>OOL OF LAW RESEARCH REPORT No 4</w:t>
      </w:r>
    </w:p>
    <w:p w:rsidR="00B965D3" w:rsidRPr="00EA283C" w:rsidRDefault="00B965D3" w:rsidP="00B965D3">
      <w:pPr>
        <w:keepLines/>
        <w:spacing w:before="40" w:after="120" w:line="280" w:lineRule="atLeast"/>
        <w:ind w:left="414" w:firstLine="720"/>
        <w:jc w:val="center"/>
        <w:rPr>
          <w:rFonts w:eastAsiaTheme="majorEastAsia" w:cstheme="minorHAnsi"/>
          <w:b/>
          <w:bCs/>
          <w:color w:val="002060"/>
          <w:spacing w:val="20"/>
          <w:sz w:val="32"/>
          <w:szCs w:val="28"/>
          <w:u w:color="000000"/>
        </w:rPr>
      </w:pPr>
      <w:r>
        <w:rPr>
          <w:rFonts w:eastAsiaTheme="majorEastAsia" w:cstheme="minorHAnsi"/>
          <w:b/>
          <w:bCs/>
          <w:color w:val="002060"/>
          <w:spacing w:val="20"/>
          <w:sz w:val="32"/>
          <w:szCs w:val="28"/>
          <w:u w:color="000000"/>
        </w:rPr>
        <w:t>28</w:t>
      </w:r>
      <w:r w:rsidRPr="00EA283C">
        <w:rPr>
          <w:rFonts w:eastAsiaTheme="majorEastAsia" w:cstheme="minorHAnsi"/>
          <w:b/>
          <w:bCs/>
          <w:color w:val="002060"/>
          <w:spacing w:val="20"/>
          <w:sz w:val="32"/>
          <w:szCs w:val="28"/>
          <w:u w:color="000000"/>
        </w:rPr>
        <w:t>/</w:t>
      </w:r>
      <w:r>
        <w:rPr>
          <w:rFonts w:eastAsiaTheme="majorEastAsia" w:cstheme="minorHAnsi"/>
          <w:b/>
          <w:bCs/>
          <w:color w:val="002060"/>
          <w:spacing w:val="20"/>
          <w:sz w:val="32"/>
          <w:szCs w:val="28"/>
          <w:u w:color="000000"/>
        </w:rPr>
        <w:t>2</w:t>
      </w:r>
      <w:r w:rsidRPr="00EA283C">
        <w:rPr>
          <w:rFonts w:eastAsiaTheme="majorEastAsia" w:cstheme="minorHAnsi"/>
          <w:b/>
          <w:bCs/>
          <w:color w:val="002060"/>
          <w:spacing w:val="20"/>
          <w:sz w:val="32"/>
          <w:szCs w:val="28"/>
          <w:u w:color="000000"/>
        </w:rPr>
        <w:t>/201</w:t>
      </w:r>
      <w:r>
        <w:rPr>
          <w:rFonts w:eastAsiaTheme="majorEastAsia" w:cstheme="minorHAnsi"/>
          <w:b/>
          <w:bCs/>
          <w:color w:val="002060"/>
          <w:spacing w:val="20"/>
          <w:sz w:val="32"/>
          <w:szCs w:val="28"/>
          <w:u w:color="000000"/>
        </w:rPr>
        <w:t>4</w:t>
      </w:r>
    </w:p>
    <w:p w:rsidR="00B965D3" w:rsidRDefault="00B965D3" w:rsidP="00B965D3">
      <w:pPr>
        <w:keepLines/>
        <w:spacing w:before="40" w:after="120" w:line="280" w:lineRule="atLeast"/>
        <w:ind w:left="414" w:firstLine="720"/>
        <w:jc w:val="center"/>
        <w:rPr>
          <w:rFonts w:eastAsiaTheme="majorEastAsia" w:cstheme="minorHAnsi"/>
          <w:b/>
          <w:bCs/>
          <w:color w:val="000000"/>
          <w:spacing w:val="20"/>
          <w:sz w:val="32"/>
          <w:szCs w:val="28"/>
          <w:u w:color="000000"/>
        </w:rPr>
      </w:pPr>
    </w:p>
    <w:p w:rsidR="00B965D3" w:rsidRPr="000C58B3" w:rsidRDefault="00B965D3" w:rsidP="00B965D3">
      <w:pPr>
        <w:keepLines/>
        <w:spacing w:before="40" w:after="120" w:line="280" w:lineRule="atLeast"/>
        <w:ind w:left="414" w:firstLine="720"/>
        <w:jc w:val="center"/>
        <w:rPr>
          <w:rFonts w:eastAsiaTheme="minorEastAsia" w:cstheme="minorHAnsi"/>
          <w:b/>
          <w:color w:val="C00000"/>
          <w:sz w:val="32"/>
          <w:szCs w:val="32"/>
          <w:u w:color="000000"/>
          <w:lang w:val="en-US"/>
        </w:rPr>
      </w:pPr>
      <w:r w:rsidRPr="000C58B3">
        <w:rPr>
          <w:rFonts w:eastAsiaTheme="minorEastAsia" w:cstheme="minorHAnsi"/>
          <w:b/>
          <w:color w:val="C00000"/>
          <w:sz w:val="32"/>
          <w:szCs w:val="32"/>
          <w:u w:color="000000"/>
          <w:lang w:val="en-US"/>
        </w:rPr>
        <w:t>RECENT PUBLICATIONS</w:t>
      </w:r>
    </w:p>
    <w:p w:rsidR="00B965D3" w:rsidRDefault="00B965D3" w:rsidP="00B965D3">
      <w:pPr>
        <w:keepLines/>
        <w:spacing w:before="40" w:after="120" w:line="280" w:lineRule="atLeast"/>
        <w:ind w:left="414" w:firstLine="720"/>
        <w:rPr>
          <w:rFonts w:eastAsiaTheme="minorEastAsia" w:cstheme="minorHAnsi"/>
          <w:b/>
          <w:color w:val="7030A0"/>
          <w:sz w:val="28"/>
          <w:szCs w:val="28"/>
          <w:u w:color="000000"/>
          <w:lang w:val="en-US"/>
        </w:rPr>
      </w:pPr>
      <w:r w:rsidRPr="00CC7326">
        <w:rPr>
          <w:rFonts w:eastAsiaTheme="minorEastAsia" w:cstheme="minorHAnsi"/>
          <w:b/>
          <w:color w:val="7030A0"/>
          <w:sz w:val="28"/>
          <w:szCs w:val="28"/>
          <w:u w:color="000000"/>
          <w:lang w:val="en-US"/>
        </w:rPr>
        <w:t>Congratulations to the authors of the following recent publication</w:t>
      </w:r>
      <w:r>
        <w:rPr>
          <w:rFonts w:eastAsiaTheme="minorEastAsia" w:cstheme="minorHAnsi"/>
          <w:b/>
          <w:color w:val="7030A0"/>
          <w:sz w:val="28"/>
          <w:szCs w:val="28"/>
          <w:u w:color="000000"/>
          <w:lang w:val="en-US"/>
        </w:rPr>
        <w:t>s</w:t>
      </w:r>
      <w:r w:rsidRPr="00CC7326">
        <w:rPr>
          <w:rFonts w:eastAsiaTheme="minorEastAsia" w:cstheme="minorHAnsi"/>
          <w:b/>
          <w:color w:val="7030A0"/>
          <w:sz w:val="28"/>
          <w:szCs w:val="28"/>
          <w:u w:color="000000"/>
          <w:lang w:val="en-US"/>
        </w:rPr>
        <w:t>:</w:t>
      </w:r>
    </w:p>
    <w:p w:rsidR="00B965D3" w:rsidRPr="00F81189" w:rsidRDefault="00B965D3" w:rsidP="00B965D3">
      <w:pPr>
        <w:keepLines/>
        <w:spacing w:before="40" w:after="120" w:line="280" w:lineRule="atLeast"/>
        <w:ind w:left="414" w:firstLine="720"/>
        <w:rPr>
          <w:rFonts w:eastAsiaTheme="minorEastAsia" w:cstheme="minorHAnsi"/>
          <w:color w:val="1F497D" w:themeColor="text2"/>
          <w:sz w:val="24"/>
          <w:szCs w:val="24"/>
          <w:u w:color="000000"/>
        </w:rPr>
      </w:pPr>
      <w:r w:rsidRPr="00F81189">
        <w:rPr>
          <w:rFonts w:eastAsiaTheme="minorEastAsia" w:cstheme="minorHAnsi"/>
          <w:b/>
          <w:color w:val="C00000"/>
          <w:sz w:val="24"/>
          <w:szCs w:val="24"/>
          <w:u w:color="000000"/>
        </w:rPr>
        <w:t>Oscar Roos</w:t>
      </w:r>
      <w:r w:rsidRPr="00F81189">
        <w:rPr>
          <w:rFonts w:eastAsiaTheme="minorEastAsia" w:cstheme="minorHAnsi"/>
          <w:color w:val="1F497D" w:themeColor="text2"/>
          <w:sz w:val="24"/>
          <w:szCs w:val="24"/>
          <w:u w:color="000000"/>
        </w:rPr>
        <w:t xml:space="preserve">, ‘Accepted Doctrine at the Time of Federation and Kirk v Industrial Court of New South Wales’ (2013) 35 </w:t>
      </w:r>
      <w:r w:rsidRPr="00F81189">
        <w:rPr>
          <w:rFonts w:eastAsiaTheme="minorEastAsia" w:cstheme="minorHAnsi"/>
          <w:i/>
          <w:color w:val="1F497D" w:themeColor="text2"/>
          <w:sz w:val="24"/>
          <w:szCs w:val="24"/>
          <w:u w:color="000000"/>
        </w:rPr>
        <w:t>Sydney Law Review</w:t>
      </w:r>
      <w:r w:rsidRPr="00F81189">
        <w:rPr>
          <w:rFonts w:eastAsiaTheme="minorEastAsia" w:cstheme="minorHAnsi"/>
          <w:color w:val="1F497D" w:themeColor="text2"/>
          <w:sz w:val="24"/>
          <w:szCs w:val="24"/>
          <w:u w:color="000000"/>
        </w:rPr>
        <w:t xml:space="preserve"> pp. 781-807. </w:t>
      </w:r>
      <w:hyperlink r:id="rId8" w:history="1">
        <w:r w:rsidR="00872333" w:rsidRPr="00F81189">
          <w:rPr>
            <w:rStyle w:val="Hyperlink"/>
            <w:rFonts w:eastAsiaTheme="minorEastAsia" w:cstheme="minorHAnsi"/>
            <w:sz w:val="24"/>
            <w:szCs w:val="24"/>
            <w:u w:color="000000"/>
          </w:rPr>
          <w:t>http://dro.deakin.edu.au/view/DU:30060438</w:t>
        </w:r>
      </w:hyperlink>
    </w:p>
    <w:p w:rsidR="00F81189" w:rsidRDefault="00F81189" w:rsidP="00F81189">
      <w:pPr>
        <w:keepLines/>
        <w:spacing w:before="40" w:after="120" w:line="280" w:lineRule="atLeast"/>
        <w:ind w:left="414" w:firstLine="720"/>
        <w:rPr>
          <w:sz w:val="24"/>
          <w:szCs w:val="24"/>
        </w:rPr>
      </w:pPr>
      <w:r w:rsidRPr="00F81189">
        <w:rPr>
          <w:b/>
          <w:color w:val="C00000"/>
          <w:sz w:val="24"/>
          <w:szCs w:val="24"/>
        </w:rPr>
        <w:t>Samantha Hepburn</w:t>
      </w:r>
      <w:r w:rsidRPr="00F81189">
        <w:rPr>
          <w:color w:val="1F497D" w:themeColor="text2"/>
          <w:sz w:val="24"/>
          <w:szCs w:val="24"/>
        </w:rPr>
        <w:t xml:space="preserve">, 'Does Unconventional Gas Require Unconventional Ownership: An Analysis of the Functionality of Ownership Frameworks for Unconventional Gas Development’ (2013) 8 </w:t>
      </w:r>
      <w:r w:rsidRPr="00F81189">
        <w:rPr>
          <w:i/>
          <w:color w:val="1F497D" w:themeColor="text2"/>
          <w:sz w:val="24"/>
          <w:szCs w:val="24"/>
        </w:rPr>
        <w:t>Pittsburgh Journal of Environmental and Public Health Law</w:t>
      </w:r>
      <w:r w:rsidRPr="00F81189">
        <w:rPr>
          <w:color w:val="1F497D" w:themeColor="text2"/>
          <w:sz w:val="24"/>
          <w:szCs w:val="24"/>
        </w:rPr>
        <w:t xml:space="preserve"> </w:t>
      </w:r>
      <w:r w:rsidR="00AC2B3D" w:rsidRPr="00AC2B3D">
        <w:rPr>
          <w:color w:val="1F497D" w:themeColor="text2"/>
          <w:sz w:val="24"/>
          <w:szCs w:val="24"/>
        </w:rPr>
        <w:t>1-57</w:t>
      </w:r>
      <w:r w:rsidRPr="00F81189">
        <w:rPr>
          <w:color w:val="1F497D" w:themeColor="text2"/>
          <w:sz w:val="24"/>
          <w:szCs w:val="24"/>
        </w:rPr>
        <w:t xml:space="preserve"> </w:t>
      </w:r>
      <w:hyperlink r:id="rId9" w:history="1">
        <w:r w:rsidRPr="00F81189">
          <w:rPr>
            <w:rFonts w:ascii="Calibri" w:eastAsia="Calibri" w:hAnsi="Calibri" w:cs="Times New Roman"/>
            <w:color w:val="0000FF" w:themeColor="hyperlink"/>
            <w:sz w:val="24"/>
            <w:szCs w:val="24"/>
            <w:u w:val="single"/>
          </w:rPr>
          <w:t>http://dro.deakin.edu.au/view/DU:30060477</w:t>
        </w:r>
      </w:hyperlink>
      <w:r w:rsidRPr="00F81189">
        <w:rPr>
          <w:sz w:val="24"/>
          <w:szCs w:val="24"/>
        </w:rPr>
        <w:t xml:space="preserve">   </w:t>
      </w:r>
    </w:p>
    <w:p w:rsidR="00E00EBF" w:rsidRDefault="00E00EBF" w:rsidP="00E00EBF">
      <w:pPr>
        <w:keepLines/>
        <w:spacing w:before="40" w:after="120" w:line="280" w:lineRule="atLeast"/>
        <w:ind w:left="414" w:firstLine="720"/>
        <w:rPr>
          <w:sz w:val="24"/>
          <w:szCs w:val="24"/>
        </w:rPr>
      </w:pPr>
      <w:r w:rsidRPr="00E00EBF">
        <w:rPr>
          <w:rFonts w:eastAsia="Times New Roman"/>
          <w:b/>
          <w:color w:val="C00000"/>
          <w:sz w:val="24"/>
          <w:szCs w:val="24"/>
        </w:rPr>
        <w:t>Samantha Hepburn</w:t>
      </w:r>
      <w:r>
        <w:rPr>
          <w:rFonts w:eastAsia="Times New Roman"/>
          <w:color w:val="000000"/>
          <w:sz w:val="24"/>
          <w:szCs w:val="24"/>
        </w:rPr>
        <w:t>, ‘</w:t>
      </w:r>
      <w:r w:rsidRPr="00E00EBF">
        <w:rPr>
          <w:rFonts w:eastAsia="Times New Roman"/>
          <w:color w:val="1F497D" w:themeColor="text2"/>
          <w:sz w:val="24"/>
          <w:szCs w:val="24"/>
        </w:rPr>
        <w:t xml:space="preserve">The Implications of the Victorian Gas Market Taskforce Report on Unconventional Gas Development in Victoria’ (2014) 29 </w:t>
      </w:r>
      <w:r w:rsidRPr="00E00EBF">
        <w:rPr>
          <w:rFonts w:eastAsia="Times New Roman"/>
          <w:i/>
          <w:color w:val="1F497D" w:themeColor="text2"/>
          <w:sz w:val="24"/>
          <w:szCs w:val="24"/>
        </w:rPr>
        <w:t>Australian Environment Review</w:t>
      </w:r>
      <w:r w:rsidRPr="00E00EBF">
        <w:rPr>
          <w:rFonts w:eastAsia="Times New Roman"/>
          <w:color w:val="1F497D" w:themeColor="text2"/>
          <w:sz w:val="24"/>
          <w:szCs w:val="24"/>
        </w:rPr>
        <w:t xml:space="preserve"> 3</w:t>
      </w:r>
      <w:r>
        <w:rPr>
          <w:rFonts w:eastAsia="Times New Roman"/>
          <w:color w:val="1F497D" w:themeColor="text2"/>
          <w:sz w:val="24"/>
          <w:szCs w:val="24"/>
        </w:rPr>
        <w:t>-11</w:t>
      </w:r>
    </w:p>
    <w:p w:rsidR="00055821" w:rsidRDefault="00055821" w:rsidP="00055821">
      <w:pPr>
        <w:keepLines/>
        <w:spacing w:before="40" w:after="120" w:line="280" w:lineRule="atLeast"/>
        <w:ind w:left="414" w:firstLine="720"/>
        <w:rPr>
          <w:rFonts w:eastAsiaTheme="minorEastAsia" w:cstheme="minorHAnsi"/>
          <w:color w:val="1F497D" w:themeColor="text2"/>
          <w:sz w:val="24"/>
          <w:szCs w:val="24"/>
          <w:u w:color="000000"/>
        </w:rPr>
      </w:pPr>
      <w:r w:rsidRPr="00055821">
        <w:rPr>
          <w:rFonts w:eastAsiaTheme="minorEastAsia" w:cstheme="minorHAnsi"/>
          <w:b/>
          <w:color w:val="C00000"/>
          <w:sz w:val="24"/>
          <w:szCs w:val="24"/>
          <w:u w:color="000000"/>
        </w:rPr>
        <w:t>Louis de Koker</w:t>
      </w:r>
      <w:r w:rsidRPr="00055821">
        <w:rPr>
          <w:rFonts w:eastAsiaTheme="minorEastAsia" w:cstheme="minorHAnsi"/>
          <w:color w:val="1F497D" w:themeColor="text2"/>
          <w:sz w:val="24"/>
          <w:szCs w:val="24"/>
          <w:u w:color="000000"/>
        </w:rPr>
        <w:t xml:space="preserve">, 2013, </w:t>
      </w:r>
      <w:r>
        <w:rPr>
          <w:rFonts w:eastAsiaTheme="minorEastAsia" w:cstheme="minorHAnsi"/>
          <w:color w:val="1F497D" w:themeColor="text2"/>
          <w:sz w:val="24"/>
          <w:szCs w:val="24"/>
          <w:u w:color="000000"/>
        </w:rPr>
        <w:t>‘</w:t>
      </w:r>
      <w:r w:rsidRPr="00055821">
        <w:rPr>
          <w:rFonts w:eastAsiaTheme="minorEastAsia" w:cstheme="minorHAnsi"/>
          <w:color w:val="1F497D" w:themeColor="text2"/>
          <w:sz w:val="24"/>
          <w:szCs w:val="24"/>
          <w:u w:color="000000"/>
        </w:rPr>
        <w:t>The 2012 Revised FATF Recommendations: Assessing and Mitigating Mobile Money Integrity Risks Within the New Standards Framework</w:t>
      </w:r>
      <w:r>
        <w:rPr>
          <w:rFonts w:eastAsiaTheme="minorEastAsia" w:cstheme="minorHAnsi"/>
          <w:color w:val="1F497D" w:themeColor="text2"/>
          <w:sz w:val="24"/>
          <w:szCs w:val="24"/>
          <w:u w:color="000000"/>
        </w:rPr>
        <w:t xml:space="preserve">’ (2013) 8 </w:t>
      </w:r>
      <w:r w:rsidRPr="00055821">
        <w:rPr>
          <w:rFonts w:eastAsiaTheme="minorEastAsia" w:cstheme="minorHAnsi"/>
          <w:i/>
          <w:color w:val="1F497D" w:themeColor="text2"/>
          <w:sz w:val="24"/>
          <w:szCs w:val="24"/>
          <w:u w:color="000000"/>
        </w:rPr>
        <w:t>Washington Journal of Law, Technology &amp; Arts</w:t>
      </w:r>
      <w:r w:rsidRPr="00055821">
        <w:rPr>
          <w:rFonts w:eastAsiaTheme="minorEastAsia" w:cstheme="minorHAnsi"/>
          <w:color w:val="1F497D" w:themeColor="text2"/>
          <w:sz w:val="24"/>
          <w:szCs w:val="24"/>
          <w:u w:color="000000"/>
        </w:rPr>
        <w:t xml:space="preserve"> 165-196. </w:t>
      </w:r>
      <w:hyperlink r:id="rId10" w:history="1">
        <w:r w:rsidRPr="00060FE5">
          <w:rPr>
            <w:rStyle w:val="Hyperlink"/>
            <w:rFonts w:eastAsiaTheme="minorEastAsia" w:cstheme="minorHAnsi"/>
            <w:sz w:val="24"/>
            <w:szCs w:val="24"/>
            <w:u w:color="000000"/>
          </w:rPr>
          <w:t>http://dro.deakin.edu.au/view/DU:30060694</w:t>
        </w:r>
      </w:hyperlink>
    </w:p>
    <w:p w:rsidR="00055821" w:rsidRDefault="00055821" w:rsidP="00055821">
      <w:pPr>
        <w:keepLines/>
        <w:spacing w:before="40" w:after="120" w:line="280" w:lineRule="atLeast"/>
        <w:ind w:left="414" w:firstLine="720"/>
        <w:rPr>
          <w:rFonts w:eastAsiaTheme="minorEastAsia" w:cstheme="minorHAnsi"/>
          <w:color w:val="1F497D" w:themeColor="text2"/>
          <w:sz w:val="24"/>
          <w:szCs w:val="24"/>
          <w:u w:color="000000"/>
        </w:rPr>
      </w:pPr>
      <w:r w:rsidRPr="00055821">
        <w:rPr>
          <w:rFonts w:eastAsiaTheme="minorEastAsia" w:cstheme="minorHAnsi"/>
          <w:b/>
          <w:color w:val="C00000"/>
          <w:sz w:val="24"/>
          <w:szCs w:val="24"/>
          <w:u w:color="000000"/>
        </w:rPr>
        <w:t>Louis de Koker</w:t>
      </w:r>
      <w:r>
        <w:rPr>
          <w:rFonts w:eastAsiaTheme="minorEastAsia" w:cstheme="minorHAnsi"/>
          <w:color w:val="1F497D" w:themeColor="text2"/>
          <w:sz w:val="24"/>
          <w:szCs w:val="24"/>
          <w:u w:color="000000"/>
        </w:rPr>
        <w:t>,</w:t>
      </w:r>
      <w:r w:rsidRPr="00055821">
        <w:rPr>
          <w:rFonts w:eastAsiaTheme="minorEastAsia" w:cstheme="minorHAnsi"/>
          <w:color w:val="1F497D" w:themeColor="text2"/>
          <w:sz w:val="24"/>
          <w:szCs w:val="24"/>
          <w:u w:color="000000"/>
        </w:rPr>
        <w:t xml:space="preserve"> </w:t>
      </w:r>
      <w:r w:rsidRPr="00055821">
        <w:rPr>
          <w:rFonts w:eastAsiaTheme="minorEastAsia" w:cstheme="minorHAnsi"/>
          <w:i/>
          <w:color w:val="1F497D" w:themeColor="text2"/>
          <w:sz w:val="24"/>
          <w:szCs w:val="24"/>
          <w:u w:color="000000"/>
        </w:rPr>
        <w:t xml:space="preserve">South African money Laundering and Terror Financing </w:t>
      </w:r>
      <w:proofErr w:type="gramStart"/>
      <w:r w:rsidRPr="00055821">
        <w:rPr>
          <w:rFonts w:eastAsiaTheme="minorEastAsia" w:cstheme="minorHAnsi"/>
          <w:i/>
          <w:color w:val="1F497D" w:themeColor="text2"/>
          <w:sz w:val="24"/>
          <w:szCs w:val="24"/>
          <w:u w:color="000000"/>
        </w:rPr>
        <w:t>Law</w:t>
      </w:r>
      <w:r w:rsidRPr="00055821">
        <w:rPr>
          <w:rFonts w:eastAsiaTheme="minorEastAsia" w:cstheme="minorHAnsi"/>
          <w:color w:val="1F497D" w:themeColor="text2"/>
          <w:sz w:val="24"/>
          <w:szCs w:val="24"/>
          <w:u w:color="000000"/>
        </w:rPr>
        <w:t xml:space="preserve"> ,</w:t>
      </w:r>
      <w:proofErr w:type="gramEnd"/>
      <w:r w:rsidRPr="00055821">
        <w:rPr>
          <w:rFonts w:eastAsiaTheme="minorEastAsia" w:cstheme="minorHAnsi"/>
          <w:color w:val="1F497D" w:themeColor="text2"/>
          <w:sz w:val="24"/>
          <w:szCs w:val="24"/>
          <w:u w:color="000000"/>
        </w:rPr>
        <w:t xml:space="preserve"> 2014 3rd ed., Lexis, South Africa.</w:t>
      </w:r>
      <w:r>
        <w:rPr>
          <w:rFonts w:eastAsiaTheme="minorEastAsia" w:cstheme="minorHAnsi"/>
          <w:color w:val="1F497D" w:themeColor="text2"/>
          <w:sz w:val="24"/>
          <w:szCs w:val="24"/>
          <w:u w:color="000000"/>
        </w:rPr>
        <w:t xml:space="preserve"> </w:t>
      </w:r>
      <w:hyperlink r:id="rId11" w:history="1">
        <w:r w:rsidR="00825D75" w:rsidRPr="00060FE5">
          <w:rPr>
            <w:rStyle w:val="Hyperlink"/>
            <w:rFonts w:eastAsiaTheme="minorEastAsia" w:cstheme="minorHAnsi"/>
            <w:sz w:val="24"/>
            <w:szCs w:val="24"/>
            <w:u w:color="000000"/>
          </w:rPr>
          <w:t>http://dro.deakin.edu.au/view/DU:30060698</w:t>
        </w:r>
      </w:hyperlink>
    </w:p>
    <w:p w:rsidR="00825D75" w:rsidRPr="00055821" w:rsidRDefault="00825D75" w:rsidP="00825D75">
      <w:pPr>
        <w:keepLines/>
        <w:spacing w:before="40" w:after="120" w:line="280" w:lineRule="atLeast"/>
        <w:ind w:left="414" w:firstLine="720"/>
        <w:rPr>
          <w:rFonts w:eastAsiaTheme="minorEastAsia" w:cstheme="minorHAnsi"/>
          <w:color w:val="1F497D" w:themeColor="text2"/>
          <w:sz w:val="24"/>
          <w:szCs w:val="24"/>
          <w:u w:color="000000"/>
        </w:rPr>
      </w:pPr>
      <w:r w:rsidRPr="00825D75">
        <w:rPr>
          <w:rFonts w:eastAsiaTheme="minorEastAsia" w:cstheme="minorHAnsi"/>
          <w:b/>
          <w:color w:val="C00000"/>
          <w:sz w:val="24"/>
          <w:szCs w:val="24"/>
          <w:u w:color="000000"/>
        </w:rPr>
        <w:t>PJ Badenhorst</w:t>
      </w:r>
      <w:r w:rsidRPr="00825D75">
        <w:rPr>
          <w:rFonts w:eastAsiaTheme="minorEastAsia" w:cstheme="minorHAnsi"/>
          <w:color w:val="1F497D" w:themeColor="text2"/>
          <w:sz w:val="24"/>
          <w:szCs w:val="24"/>
          <w:u w:color="000000"/>
        </w:rPr>
        <w:t xml:space="preserve">, “Security of Mineral Tenure in South Africa: Carrot or Stick?” </w:t>
      </w:r>
      <w:proofErr w:type="gramStart"/>
      <w:r w:rsidRPr="00825D75">
        <w:rPr>
          <w:rFonts w:eastAsiaTheme="minorEastAsia" w:cstheme="minorHAnsi"/>
          <w:color w:val="1F497D" w:themeColor="text2"/>
          <w:sz w:val="24"/>
          <w:szCs w:val="24"/>
          <w:u w:color="000000"/>
        </w:rPr>
        <w:t xml:space="preserve">2014 (32.1) </w:t>
      </w:r>
      <w:r w:rsidRPr="00825D75">
        <w:rPr>
          <w:rFonts w:eastAsiaTheme="minorEastAsia" w:cstheme="minorHAnsi"/>
          <w:i/>
          <w:color w:val="1F497D" w:themeColor="text2"/>
          <w:sz w:val="24"/>
          <w:szCs w:val="24"/>
          <w:u w:color="000000"/>
        </w:rPr>
        <w:t>Journal of Energy &amp; Natural Resources Law</w:t>
      </w:r>
      <w:r w:rsidRPr="00825D75">
        <w:rPr>
          <w:rFonts w:eastAsiaTheme="minorEastAsia" w:cstheme="minorHAnsi"/>
          <w:color w:val="1F497D" w:themeColor="text2"/>
          <w:sz w:val="24"/>
          <w:szCs w:val="24"/>
          <w:u w:color="000000"/>
        </w:rPr>
        <w:t xml:space="preserve"> 5-35 (International Bar Association).</w:t>
      </w:r>
      <w:proofErr w:type="gramEnd"/>
      <w:r w:rsidRPr="00825D75">
        <w:rPr>
          <w:rFonts w:eastAsiaTheme="minorEastAsia" w:cstheme="minorHAnsi"/>
          <w:color w:val="1F497D" w:themeColor="text2"/>
          <w:sz w:val="24"/>
          <w:szCs w:val="24"/>
          <w:u w:color="000000"/>
        </w:rPr>
        <w:t xml:space="preserve"> </w:t>
      </w:r>
    </w:p>
    <w:p w:rsidR="00E00EBF" w:rsidRDefault="00F81189" w:rsidP="00E00EBF">
      <w:pPr>
        <w:keepLines/>
        <w:spacing w:before="40" w:after="120" w:line="280" w:lineRule="atLeast"/>
        <w:ind w:left="414" w:firstLine="720"/>
        <w:jc w:val="center"/>
        <w:rPr>
          <w:rFonts w:eastAsiaTheme="minorEastAsia" w:cstheme="minorHAnsi"/>
          <w:b/>
          <w:color w:val="7030A0"/>
          <w:sz w:val="24"/>
          <w:szCs w:val="24"/>
          <w:u w:color="000000"/>
        </w:rPr>
      </w:pPr>
      <w:r w:rsidRPr="00F81189">
        <w:rPr>
          <w:rFonts w:eastAsiaTheme="minorEastAsia" w:cstheme="minorHAnsi"/>
          <w:b/>
          <w:color w:val="7030A0"/>
          <w:sz w:val="24"/>
          <w:szCs w:val="24"/>
          <w:u w:color="000000"/>
        </w:rPr>
        <w:t>Special congratulations</w:t>
      </w:r>
    </w:p>
    <w:p w:rsidR="00D01F18" w:rsidRDefault="00E00EBF" w:rsidP="00E00EBF">
      <w:pPr>
        <w:keepLines/>
        <w:spacing w:before="40" w:after="120" w:line="280" w:lineRule="atLeast"/>
        <w:ind w:left="414" w:firstLine="720"/>
        <w:jc w:val="center"/>
        <w:rPr>
          <w:rFonts w:eastAsiaTheme="minorEastAsia" w:cstheme="minorHAnsi"/>
          <w:b/>
          <w:color w:val="7030A0"/>
          <w:sz w:val="24"/>
          <w:szCs w:val="24"/>
          <w:u w:color="000000"/>
        </w:rPr>
      </w:pPr>
      <w:proofErr w:type="gramStart"/>
      <w:r>
        <w:rPr>
          <w:rFonts w:eastAsiaTheme="minorEastAsia" w:cstheme="minorHAnsi"/>
          <w:color w:val="1F497D" w:themeColor="text2"/>
          <w:sz w:val="24"/>
          <w:szCs w:val="24"/>
          <w:u w:color="000000"/>
        </w:rPr>
        <w:t>t</w:t>
      </w:r>
      <w:r w:rsidRPr="00E00EBF">
        <w:rPr>
          <w:rFonts w:eastAsiaTheme="minorEastAsia" w:cstheme="minorHAnsi"/>
          <w:color w:val="1F497D" w:themeColor="text2"/>
          <w:sz w:val="24"/>
          <w:szCs w:val="24"/>
          <w:u w:color="000000"/>
        </w:rPr>
        <w:t>o</w:t>
      </w:r>
      <w:proofErr w:type="gramEnd"/>
      <w:r>
        <w:rPr>
          <w:rFonts w:eastAsiaTheme="minorEastAsia" w:cstheme="minorHAnsi"/>
          <w:b/>
          <w:color w:val="7030A0"/>
          <w:sz w:val="24"/>
          <w:szCs w:val="24"/>
          <w:u w:color="000000"/>
        </w:rPr>
        <w:t xml:space="preserve"> </w:t>
      </w:r>
    </w:p>
    <w:p w:rsidR="00E00EBF" w:rsidRDefault="00E00EBF" w:rsidP="00E00EBF">
      <w:pPr>
        <w:keepLines/>
        <w:spacing w:before="40" w:after="120" w:line="280" w:lineRule="atLeast"/>
        <w:ind w:left="414" w:firstLine="720"/>
        <w:jc w:val="center"/>
        <w:rPr>
          <w:rFonts w:eastAsiaTheme="minorEastAsia" w:cstheme="minorHAnsi"/>
          <w:color w:val="7030A0"/>
          <w:sz w:val="24"/>
          <w:szCs w:val="24"/>
          <w:u w:color="000000"/>
        </w:rPr>
      </w:pPr>
      <w:r w:rsidRPr="00F81189">
        <w:rPr>
          <w:rFonts w:eastAsiaTheme="minorEastAsia" w:cstheme="minorHAnsi"/>
          <w:b/>
          <w:color w:val="C00000"/>
          <w:sz w:val="24"/>
          <w:szCs w:val="24"/>
          <w:u w:color="000000"/>
        </w:rPr>
        <w:t>Neera Bhatia</w:t>
      </w:r>
    </w:p>
    <w:p w:rsidR="00EC65A7" w:rsidRDefault="0032139A" w:rsidP="0032139A">
      <w:pPr>
        <w:keepLines/>
        <w:spacing w:before="40" w:after="120" w:line="280" w:lineRule="atLeast"/>
        <w:ind w:left="414" w:firstLine="720"/>
        <w:jc w:val="center"/>
        <w:rPr>
          <w:rFonts w:eastAsiaTheme="minorEastAsia" w:cstheme="minorHAnsi"/>
          <w:color w:val="1F497D" w:themeColor="text2"/>
          <w:sz w:val="24"/>
          <w:szCs w:val="24"/>
          <w:u w:color="000000"/>
        </w:rPr>
      </w:pPr>
      <w:proofErr w:type="gramStart"/>
      <w:r>
        <w:rPr>
          <w:rFonts w:eastAsiaTheme="minorEastAsia" w:cstheme="minorHAnsi"/>
          <w:color w:val="1F497D" w:themeColor="text2"/>
          <w:sz w:val="24"/>
          <w:szCs w:val="24"/>
          <w:u w:color="000000"/>
        </w:rPr>
        <w:t>for</w:t>
      </w:r>
      <w:proofErr w:type="gramEnd"/>
      <w:r>
        <w:rPr>
          <w:rFonts w:eastAsiaTheme="minorEastAsia" w:cstheme="minorHAnsi"/>
          <w:color w:val="1F497D" w:themeColor="text2"/>
          <w:sz w:val="24"/>
          <w:szCs w:val="24"/>
          <w:u w:color="000000"/>
        </w:rPr>
        <w:t xml:space="preserve"> </w:t>
      </w:r>
    </w:p>
    <w:p w:rsidR="00872333" w:rsidRDefault="0032139A" w:rsidP="0032139A">
      <w:pPr>
        <w:keepLines/>
        <w:spacing w:before="40" w:after="120" w:line="280" w:lineRule="atLeast"/>
        <w:ind w:left="414" w:firstLine="720"/>
        <w:jc w:val="center"/>
        <w:rPr>
          <w:rFonts w:eastAsiaTheme="minorEastAsia" w:cstheme="minorHAnsi"/>
          <w:color w:val="1F497D" w:themeColor="text2"/>
          <w:sz w:val="24"/>
          <w:szCs w:val="24"/>
          <w:u w:color="000000"/>
        </w:rPr>
      </w:pPr>
      <w:proofErr w:type="gramStart"/>
      <w:r>
        <w:rPr>
          <w:rFonts w:eastAsiaTheme="minorEastAsia" w:cstheme="minorHAnsi"/>
          <w:color w:val="1F497D" w:themeColor="text2"/>
          <w:sz w:val="24"/>
          <w:szCs w:val="24"/>
          <w:u w:color="000000"/>
        </w:rPr>
        <w:t>fulfilling</w:t>
      </w:r>
      <w:proofErr w:type="gramEnd"/>
      <w:r>
        <w:rPr>
          <w:rFonts w:eastAsiaTheme="minorEastAsia" w:cstheme="minorHAnsi"/>
          <w:color w:val="1F497D" w:themeColor="text2"/>
          <w:sz w:val="24"/>
          <w:szCs w:val="24"/>
          <w:u w:color="000000"/>
        </w:rPr>
        <w:t xml:space="preserve"> </w:t>
      </w:r>
      <w:r w:rsidRPr="0032139A">
        <w:rPr>
          <w:rFonts w:eastAsiaTheme="minorEastAsia" w:cstheme="minorHAnsi"/>
          <w:color w:val="1F497D" w:themeColor="text2"/>
          <w:sz w:val="24"/>
          <w:szCs w:val="24"/>
          <w:u w:color="000000"/>
        </w:rPr>
        <w:t xml:space="preserve">all of the requirements of the </w:t>
      </w:r>
      <w:r w:rsidRPr="00EC65A7">
        <w:rPr>
          <w:rFonts w:eastAsiaTheme="minorEastAsia" w:cstheme="minorHAnsi"/>
          <w:b/>
          <w:color w:val="1F497D" w:themeColor="text2"/>
          <w:sz w:val="24"/>
          <w:szCs w:val="24"/>
          <w:u w:color="000000"/>
        </w:rPr>
        <w:t>PhD degree</w:t>
      </w:r>
      <w:r w:rsidR="00EC65A7" w:rsidRPr="00EC65A7">
        <w:rPr>
          <w:rFonts w:eastAsiaTheme="minorEastAsia" w:cstheme="minorHAnsi"/>
          <w:color w:val="1F497D" w:themeColor="text2"/>
          <w:sz w:val="24"/>
          <w:szCs w:val="24"/>
          <w:u w:color="000000"/>
        </w:rPr>
        <w:t xml:space="preserve">. Neera’s </w:t>
      </w:r>
      <w:r w:rsidRPr="0032139A">
        <w:rPr>
          <w:rFonts w:eastAsiaTheme="minorEastAsia" w:cstheme="minorHAnsi"/>
          <w:color w:val="1F497D" w:themeColor="text2"/>
          <w:sz w:val="24"/>
          <w:szCs w:val="24"/>
          <w:u w:color="000000"/>
        </w:rPr>
        <w:t xml:space="preserve">thesis entitled </w:t>
      </w:r>
      <w:r w:rsidRPr="00EC65A7">
        <w:rPr>
          <w:rFonts w:eastAsiaTheme="minorEastAsia" w:cstheme="minorHAnsi"/>
          <w:i/>
          <w:color w:val="1F497D" w:themeColor="text2"/>
          <w:sz w:val="24"/>
          <w:szCs w:val="24"/>
          <w:u w:color="000000"/>
        </w:rPr>
        <w:t>Medico-legal Decision Making Regarding Incapacitated Neonates</w:t>
      </w:r>
      <w:r w:rsidR="00EC65A7">
        <w:rPr>
          <w:rFonts w:eastAsiaTheme="minorEastAsia" w:cstheme="minorHAnsi"/>
          <w:color w:val="1F497D" w:themeColor="text2"/>
          <w:sz w:val="24"/>
          <w:szCs w:val="24"/>
          <w:u w:color="000000"/>
        </w:rPr>
        <w:t xml:space="preserve"> is available online</w:t>
      </w:r>
    </w:p>
    <w:p w:rsidR="00E00EBF" w:rsidRDefault="00E00EBF" w:rsidP="00E00EBF">
      <w:pPr>
        <w:keepLines/>
        <w:spacing w:before="40" w:after="120" w:line="280" w:lineRule="atLeast"/>
        <w:ind w:left="414" w:firstLine="720"/>
        <w:jc w:val="center"/>
        <w:rPr>
          <w:rFonts w:eastAsiaTheme="minorEastAsia" w:cstheme="minorHAnsi"/>
          <w:b/>
          <w:color w:val="C00000"/>
          <w:sz w:val="32"/>
          <w:szCs w:val="32"/>
          <w:u w:color="000000"/>
        </w:rPr>
      </w:pPr>
    </w:p>
    <w:p w:rsidR="00E00EBF" w:rsidRDefault="00E00EBF" w:rsidP="00E00EBF">
      <w:pPr>
        <w:keepLines/>
        <w:spacing w:before="40" w:after="120" w:line="280" w:lineRule="atLeast"/>
        <w:ind w:left="414" w:firstLine="720"/>
        <w:jc w:val="center"/>
        <w:rPr>
          <w:rFonts w:eastAsiaTheme="minorEastAsia" w:cstheme="minorHAnsi"/>
          <w:b/>
          <w:color w:val="C00000"/>
          <w:sz w:val="32"/>
          <w:szCs w:val="32"/>
          <w:u w:color="000000"/>
        </w:rPr>
      </w:pPr>
      <w:r w:rsidRPr="00E00EBF">
        <w:rPr>
          <w:rFonts w:eastAsiaTheme="minorEastAsia" w:cstheme="minorHAnsi"/>
          <w:b/>
          <w:color w:val="C00000"/>
          <w:sz w:val="32"/>
          <w:szCs w:val="32"/>
          <w:u w:color="000000"/>
        </w:rPr>
        <w:t>External Grants</w:t>
      </w:r>
    </w:p>
    <w:p w:rsidR="00E00EBF" w:rsidRDefault="00E00EBF" w:rsidP="00E00EBF">
      <w:pPr>
        <w:keepLines/>
        <w:spacing w:before="40" w:after="120" w:line="280" w:lineRule="atLeast"/>
        <w:ind w:left="414" w:firstLine="720"/>
        <w:rPr>
          <w:rFonts w:eastAsiaTheme="minorEastAsia" w:cstheme="minorHAnsi"/>
          <w:color w:val="1F497D" w:themeColor="text2"/>
          <w:sz w:val="24"/>
          <w:szCs w:val="24"/>
          <w:u w:color="000000"/>
        </w:rPr>
      </w:pPr>
      <w:r>
        <w:rPr>
          <w:rFonts w:eastAsiaTheme="minorEastAsia" w:cstheme="minorHAnsi"/>
          <w:color w:val="1F497D" w:themeColor="text2"/>
          <w:sz w:val="24"/>
          <w:szCs w:val="24"/>
          <w:u w:color="000000"/>
        </w:rPr>
        <w:t xml:space="preserve">Congratulations to </w:t>
      </w:r>
      <w:r w:rsidRPr="00E00EBF">
        <w:rPr>
          <w:rFonts w:eastAsiaTheme="minorEastAsia" w:cstheme="minorHAnsi"/>
          <w:b/>
          <w:color w:val="C00000"/>
          <w:sz w:val="24"/>
          <w:szCs w:val="24"/>
          <w:u w:color="000000"/>
        </w:rPr>
        <w:t>Louis de Koker</w:t>
      </w:r>
      <w:r w:rsidRPr="00E00EBF">
        <w:rPr>
          <w:rFonts w:eastAsiaTheme="minorEastAsia" w:cstheme="minorHAnsi"/>
          <w:color w:val="C00000"/>
          <w:sz w:val="24"/>
          <w:szCs w:val="24"/>
          <w:u w:color="000000"/>
        </w:rPr>
        <w:t xml:space="preserve"> </w:t>
      </w:r>
      <w:r>
        <w:rPr>
          <w:rFonts w:eastAsiaTheme="minorEastAsia" w:cstheme="minorHAnsi"/>
          <w:color w:val="1F497D" w:themeColor="text2"/>
          <w:sz w:val="24"/>
          <w:szCs w:val="24"/>
          <w:u w:color="000000"/>
        </w:rPr>
        <w:t xml:space="preserve">and </w:t>
      </w:r>
      <w:r w:rsidRPr="00E00EBF">
        <w:rPr>
          <w:rFonts w:eastAsiaTheme="minorEastAsia" w:cstheme="minorHAnsi"/>
          <w:b/>
          <w:color w:val="C00000"/>
          <w:sz w:val="24"/>
          <w:szCs w:val="24"/>
          <w:u w:color="000000"/>
        </w:rPr>
        <w:t>Danuta Mendelson</w:t>
      </w:r>
      <w:r w:rsidR="00DF74AF" w:rsidRPr="00DF74AF">
        <w:rPr>
          <w:rFonts w:eastAsiaTheme="minorEastAsia" w:cstheme="minorHAnsi"/>
          <w:color w:val="1F497D" w:themeColor="text2"/>
          <w:sz w:val="24"/>
          <w:szCs w:val="24"/>
          <w:u w:color="000000"/>
        </w:rPr>
        <w:t xml:space="preserve"> </w:t>
      </w:r>
      <w:r w:rsidR="00F21566">
        <w:rPr>
          <w:rFonts w:eastAsiaTheme="minorEastAsia" w:cstheme="minorHAnsi"/>
          <w:color w:val="1F497D" w:themeColor="text2"/>
          <w:sz w:val="24"/>
          <w:szCs w:val="24"/>
          <w:u w:color="000000"/>
        </w:rPr>
        <w:t xml:space="preserve">who are partners in the </w:t>
      </w:r>
      <w:r w:rsidR="00D2559B">
        <w:rPr>
          <w:rFonts w:eastAsiaTheme="minorEastAsia" w:cstheme="minorHAnsi"/>
          <w:color w:val="1F497D" w:themeColor="text2"/>
          <w:sz w:val="24"/>
          <w:szCs w:val="24"/>
          <w:u w:color="000000"/>
        </w:rPr>
        <w:t xml:space="preserve">successful bid for </w:t>
      </w:r>
      <w:r w:rsidR="00F21566" w:rsidRPr="00CB5687">
        <w:rPr>
          <w:rFonts w:eastAsiaTheme="minorEastAsia" w:cstheme="minorHAnsi"/>
          <w:b/>
          <w:color w:val="1F497D" w:themeColor="text2"/>
          <w:sz w:val="24"/>
          <w:szCs w:val="24"/>
          <w:u w:color="000000"/>
        </w:rPr>
        <w:t>Cooperative Research Centre</w:t>
      </w:r>
      <w:r w:rsidR="00F21566" w:rsidRPr="00E00EBF">
        <w:rPr>
          <w:rFonts w:eastAsiaTheme="minorEastAsia" w:cstheme="minorHAnsi"/>
          <w:color w:val="1F497D" w:themeColor="text2"/>
          <w:sz w:val="24"/>
          <w:szCs w:val="24"/>
          <w:u w:color="000000"/>
        </w:rPr>
        <w:t xml:space="preserve">, the </w:t>
      </w:r>
      <w:r w:rsidR="00F21566" w:rsidRPr="00CB5687">
        <w:rPr>
          <w:rFonts w:eastAsiaTheme="minorEastAsia" w:cstheme="minorHAnsi"/>
          <w:b/>
          <w:color w:val="1F497D" w:themeColor="text2"/>
          <w:sz w:val="24"/>
          <w:szCs w:val="24"/>
          <w:u w:color="000000"/>
        </w:rPr>
        <w:t>Data to Decisions CRC</w:t>
      </w:r>
      <w:r w:rsidR="00F21566" w:rsidRPr="00E00EBF">
        <w:rPr>
          <w:rFonts w:eastAsiaTheme="minorEastAsia" w:cstheme="minorHAnsi"/>
          <w:color w:val="1F497D" w:themeColor="text2"/>
          <w:sz w:val="24"/>
          <w:szCs w:val="24"/>
          <w:u w:color="000000"/>
        </w:rPr>
        <w:t xml:space="preserve"> (D2D CRC)</w:t>
      </w:r>
      <w:r w:rsidR="00F21566">
        <w:rPr>
          <w:rFonts w:eastAsiaTheme="minorEastAsia" w:cstheme="minorHAnsi"/>
          <w:color w:val="1F497D" w:themeColor="text2"/>
          <w:sz w:val="24"/>
          <w:szCs w:val="24"/>
          <w:u w:color="000000"/>
        </w:rPr>
        <w:t xml:space="preserve">. </w:t>
      </w:r>
      <w:r w:rsidR="00F21566" w:rsidRPr="00E00EBF">
        <w:rPr>
          <w:rFonts w:eastAsiaTheme="minorEastAsia" w:cstheme="minorHAnsi"/>
          <w:color w:val="1F497D" w:themeColor="text2"/>
          <w:sz w:val="24"/>
          <w:szCs w:val="24"/>
          <w:u w:color="000000"/>
        </w:rPr>
        <w:t xml:space="preserve">The Data to Decisions was one of three new Cooperative Research Centres to win the 16th CRC </w:t>
      </w:r>
      <w:r w:rsidR="00F21566">
        <w:rPr>
          <w:rFonts w:eastAsiaTheme="minorEastAsia" w:cstheme="minorHAnsi"/>
          <w:color w:val="1F497D" w:themeColor="text2"/>
          <w:sz w:val="24"/>
          <w:szCs w:val="24"/>
          <w:u w:color="000000"/>
        </w:rPr>
        <w:t xml:space="preserve">(2013) </w:t>
      </w:r>
      <w:r w:rsidR="00F21566" w:rsidRPr="00E00EBF">
        <w:rPr>
          <w:rFonts w:eastAsiaTheme="minorEastAsia" w:cstheme="minorHAnsi"/>
          <w:color w:val="1F497D" w:themeColor="text2"/>
          <w:sz w:val="24"/>
          <w:szCs w:val="24"/>
          <w:u w:color="000000"/>
        </w:rPr>
        <w:t>program selection round.</w:t>
      </w:r>
      <w:r w:rsidR="00F21566">
        <w:rPr>
          <w:rFonts w:eastAsiaTheme="minorEastAsia" w:cstheme="minorHAnsi"/>
          <w:color w:val="1F497D" w:themeColor="text2"/>
          <w:sz w:val="24"/>
          <w:szCs w:val="24"/>
          <w:u w:color="000000"/>
        </w:rPr>
        <w:t xml:space="preserve"> </w:t>
      </w:r>
      <w:hyperlink r:id="rId12" w:history="1">
        <w:r w:rsidR="00D2559B" w:rsidRPr="004F51E5">
          <w:rPr>
            <w:rStyle w:val="Hyperlink"/>
            <w:rFonts w:eastAsiaTheme="minorEastAsia" w:cstheme="minorHAnsi"/>
            <w:sz w:val="24"/>
            <w:szCs w:val="24"/>
            <w:u w:color="000000"/>
          </w:rPr>
          <w:t>file:///C:/Users/Home/Downloads/D2DCRC%20public%20version.pdf</w:t>
        </w:r>
      </w:hyperlink>
    </w:p>
    <w:p w:rsidR="00E00EBF" w:rsidRPr="00E00EBF" w:rsidRDefault="00D2559B" w:rsidP="00CB5687">
      <w:pPr>
        <w:keepLines/>
        <w:spacing w:before="40" w:after="120" w:line="280" w:lineRule="atLeast"/>
        <w:ind w:left="414" w:firstLine="720"/>
        <w:rPr>
          <w:rFonts w:eastAsiaTheme="minorEastAsia" w:cstheme="minorHAnsi"/>
          <w:color w:val="1F497D" w:themeColor="text2"/>
          <w:sz w:val="24"/>
          <w:szCs w:val="24"/>
          <w:u w:color="000000"/>
        </w:rPr>
      </w:pPr>
      <w:r>
        <w:rPr>
          <w:rFonts w:eastAsiaTheme="minorEastAsia" w:cstheme="minorHAnsi"/>
          <w:color w:val="1F497D" w:themeColor="text2"/>
          <w:sz w:val="24"/>
          <w:szCs w:val="24"/>
          <w:u w:color="000000"/>
        </w:rPr>
        <w:t>T</w:t>
      </w:r>
      <w:r w:rsidR="00E00EBF" w:rsidRPr="00E00EBF">
        <w:rPr>
          <w:rFonts w:eastAsiaTheme="minorEastAsia" w:cstheme="minorHAnsi"/>
          <w:color w:val="1F497D" w:themeColor="text2"/>
          <w:sz w:val="24"/>
          <w:szCs w:val="24"/>
          <w:u w:color="000000"/>
        </w:rPr>
        <w:t xml:space="preserve">he </w:t>
      </w:r>
      <w:r>
        <w:rPr>
          <w:rFonts w:eastAsiaTheme="minorEastAsia" w:cstheme="minorHAnsi"/>
          <w:color w:val="1F497D" w:themeColor="text2"/>
          <w:sz w:val="24"/>
          <w:szCs w:val="24"/>
          <w:u w:color="000000"/>
        </w:rPr>
        <w:t xml:space="preserve">Federal </w:t>
      </w:r>
      <w:r w:rsidR="00E00EBF" w:rsidRPr="00E00EBF">
        <w:rPr>
          <w:rFonts w:eastAsiaTheme="minorEastAsia" w:cstheme="minorHAnsi"/>
          <w:color w:val="1F497D" w:themeColor="text2"/>
          <w:sz w:val="24"/>
          <w:szCs w:val="24"/>
          <w:u w:color="000000"/>
        </w:rPr>
        <w:t xml:space="preserve">government </w:t>
      </w:r>
      <w:r w:rsidR="00CB5687">
        <w:rPr>
          <w:rFonts w:eastAsiaTheme="minorEastAsia" w:cstheme="minorHAnsi"/>
          <w:color w:val="1F497D" w:themeColor="text2"/>
          <w:sz w:val="24"/>
          <w:szCs w:val="24"/>
          <w:u w:color="000000"/>
        </w:rPr>
        <w:t xml:space="preserve">has provided a </w:t>
      </w:r>
      <w:r w:rsidR="00CB5687" w:rsidRPr="00E00EBF">
        <w:rPr>
          <w:rFonts w:eastAsiaTheme="minorEastAsia" w:cstheme="minorHAnsi"/>
          <w:color w:val="1F497D" w:themeColor="text2"/>
          <w:sz w:val="24"/>
          <w:szCs w:val="24"/>
          <w:u w:color="000000"/>
        </w:rPr>
        <w:t xml:space="preserve">with a $25 million grant over the next 5 years </w:t>
      </w:r>
      <w:r w:rsidR="00CB5687">
        <w:rPr>
          <w:rFonts w:eastAsiaTheme="minorEastAsia" w:cstheme="minorHAnsi"/>
          <w:color w:val="1F497D" w:themeColor="text2"/>
          <w:sz w:val="24"/>
          <w:szCs w:val="24"/>
          <w:u w:color="000000"/>
        </w:rPr>
        <w:t xml:space="preserve">with total investment of </w:t>
      </w:r>
      <w:r w:rsidR="00CB5687" w:rsidRPr="00E00EBF">
        <w:rPr>
          <w:rFonts w:eastAsiaTheme="minorEastAsia" w:cstheme="minorHAnsi"/>
          <w:color w:val="1F497D" w:themeColor="text2"/>
          <w:sz w:val="24"/>
          <w:szCs w:val="24"/>
          <w:u w:color="000000"/>
        </w:rPr>
        <w:t>$87 million</w:t>
      </w:r>
      <w:r w:rsidR="00CB5687">
        <w:rPr>
          <w:rFonts w:eastAsiaTheme="minorEastAsia" w:cstheme="minorHAnsi"/>
          <w:color w:val="1F497D" w:themeColor="text2"/>
          <w:sz w:val="24"/>
          <w:szCs w:val="24"/>
          <w:u w:color="000000"/>
        </w:rPr>
        <w:t xml:space="preserve"> to </w:t>
      </w:r>
      <w:r w:rsidR="00E00EBF" w:rsidRPr="00E00EBF">
        <w:rPr>
          <w:rFonts w:eastAsiaTheme="minorEastAsia" w:cstheme="minorHAnsi"/>
          <w:color w:val="1F497D" w:themeColor="text2"/>
          <w:sz w:val="24"/>
          <w:szCs w:val="24"/>
          <w:u w:color="000000"/>
        </w:rPr>
        <w:t xml:space="preserve">create and fund </w:t>
      </w:r>
      <w:r w:rsidR="00CB5687">
        <w:rPr>
          <w:rFonts w:eastAsiaTheme="minorEastAsia" w:cstheme="minorHAnsi"/>
          <w:color w:val="1F497D" w:themeColor="text2"/>
          <w:sz w:val="24"/>
          <w:szCs w:val="24"/>
          <w:u w:color="000000"/>
        </w:rPr>
        <w:t xml:space="preserve">the </w:t>
      </w:r>
      <w:r w:rsidR="00CB5687" w:rsidRPr="00E00EBF">
        <w:rPr>
          <w:rFonts w:eastAsiaTheme="minorEastAsia" w:cstheme="minorHAnsi"/>
          <w:color w:val="1F497D" w:themeColor="text2"/>
          <w:sz w:val="24"/>
          <w:szCs w:val="24"/>
          <w:u w:color="000000"/>
        </w:rPr>
        <w:t>Data to Decisions CRC (D2D CRC)</w:t>
      </w:r>
      <w:r w:rsidR="00CB5687">
        <w:rPr>
          <w:rFonts w:eastAsiaTheme="minorEastAsia" w:cstheme="minorHAnsi"/>
          <w:color w:val="1F497D" w:themeColor="text2"/>
          <w:sz w:val="24"/>
          <w:szCs w:val="24"/>
          <w:u w:color="000000"/>
        </w:rPr>
        <w:t xml:space="preserve"> as new </w:t>
      </w:r>
      <w:r w:rsidR="00E00EBF" w:rsidRPr="00E00EBF">
        <w:rPr>
          <w:rFonts w:eastAsiaTheme="minorEastAsia" w:cstheme="minorHAnsi"/>
          <w:color w:val="1F497D" w:themeColor="text2"/>
          <w:sz w:val="24"/>
          <w:szCs w:val="24"/>
          <w:u w:color="000000"/>
        </w:rPr>
        <w:t>Cooperative Research Centre</w:t>
      </w:r>
      <w:r w:rsidR="00CB5687">
        <w:rPr>
          <w:rFonts w:eastAsiaTheme="minorEastAsia" w:cstheme="minorHAnsi"/>
          <w:color w:val="1F497D" w:themeColor="text2"/>
          <w:sz w:val="24"/>
          <w:szCs w:val="24"/>
          <w:u w:color="000000"/>
        </w:rPr>
        <w:t xml:space="preserve"> with national headquarters at the </w:t>
      </w:r>
      <w:r w:rsidR="00CB5687" w:rsidRPr="00DF74AF">
        <w:rPr>
          <w:rFonts w:eastAsiaTheme="minorEastAsia" w:cstheme="minorHAnsi"/>
          <w:color w:val="1F497D" w:themeColor="text2"/>
          <w:sz w:val="24"/>
          <w:szCs w:val="24"/>
          <w:u w:color="000000"/>
        </w:rPr>
        <w:t>University of South Australia</w:t>
      </w:r>
      <w:r w:rsidR="00CB5687">
        <w:rPr>
          <w:rFonts w:eastAsiaTheme="minorEastAsia" w:cstheme="minorHAnsi"/>
          <w:color w:val="1F497D" w:themeColor="text2"/>
          <w:sz w:val="24"/>
          <w:szCs w:val="24"/>
          <w:u w:color="000000"/>
        </w:rPr>
        <w:t xml:space="preserve">. </w:t>
      </w:r>
      <w:r w:rsidR="00E00EBF" w:rsidRPr="00E00EBF">
        <w:rPr>
          <w:rFonts w:eastAsiaTheme="minorEastAsia" w:cstheme="minorHAnsi"/>
          <w:color w:val="1F497D" w:themeColor="text2"/>
          <w:sz w:val="24"/>
          <w:szCs w:val="24"/>
          <w:u w:color="000000"/>
        </w:rPr>
        <w:t xml:space="preserve">The Data to Decisions </w:t>
      </w:r>
      <w:r w:rsidR="00CB5687">
        <w:rPr>
          <w:rFonts w:eastAsiaTheme="minorEastAsia" w:cstheme="minorHAnsi"/>
          <w:color w:val="1F497D" w:themeColor="text2"/>
          <w:sz w:val="24"/>
          <w:szCs w:val="24"/>
          <w:u w:color="000000"/>
        </w:rPr>
        <w:t xml:space="preserve">is </w:t>
      </w:r>
      <w:r w:rsidR="00E00EBF" w:rsidRPr="00E00EBF">
        <w:rPr>
          <w:rFonts w:eastAsiaTheme="minorEastAsia" w:cstheme="minorHAnsi"/>
          <w:color w:val="1F497D" w:themeColor="text2"/>
          <w:sz w:val="24"/>
          <w:szCs w:val="24"/>
          <w:u w:color="000000"/>
        </w:rPr>
        <w:t xml:space="preserve">one of three new Cooperative Research Centres to win the 16th CRC </w:t>
      </w:r>
      <w:r w:rsidR="00F21566">
        <w:rPr>
          <w:rFonts w:eastAsiaTheme="minorEastAsia" w:cstheme="minorHAnsi"/>
          <w:color w:val="1F497D" w:themeColor="text2"/>
          <w:sz w:val="24"/>
          <w:szCs w:val="24"/>
          <w:u w:color="000000"/>
        </w:rPr>
        <w:t xml:space="preserve">(2013) </w:t>
      </w:r>
      <w:r w:rsidR="00CB5687">
        <w:rPr>
          <w:rFonts w:eastAsiaTheme="minorEastAsia" w:cstheme="minorHAnsi"/>
          <w:color w:val="1F497D" w:themeColor="text2"/>
          <w:sz w:val="24"/>
          <w:szCs w:val="24"/>
          <w:u w:color="000000"/>
        </w:rPr>
        <w:t xml:space="preserve">competitive </w:t>
      </w:r>
      <w:r w:rsidR="00E00EBF" w:rsidRPr="00E00EBF">
        <w:rPr>
          <w:rFonts w:eastAsiaTheme="minorEastAsia" w:cstheme="minorHAnsi"/>
          <w:color w:val="1F497D" w:themeColor="text2"/>
          <w:sz w:val="24"/>
          <w:szCs w:val="24"/>
          <w:u w:color="000000"/>
        </w:rPr>
        <w:t>program selection round.</w:t>
      </w:r>
    </w:p>
    <w:p w:rsidR="00E00EBF" w:rsidRPr="00E00EBF" w:rsidRDefault="00E00EBF" w:rsidP="00E00EBF">
      <w:pPr>
        <w:keepLines/>
        <w:spacing w:before="40" w:after="120" w:line="280" w:lineRule="atLeast"/>
        <w:ind w:left="414" w:firstLine="720"/>
        <w:rPr>
          <w:rFonts w:eastAsiaTheme="minorEastAsia" w:cstheme="minorHAnsi"/>
          <w:color w:val="1F497D" w:themeColor="text2"/>
          <w:sz w:val="24"/>
          <w:szCs w:val="24"/>
          <w:u w:color="000000"/>
        </w:rPr>
      </w:pPr>
      <w:r w:rsidRPr="00E00EBF">
        <w:rPr>
          <w:rFonts w:eastAsiaTheme="minorEastAsia" w:cstheme="minorHAnsi"/>
          <w:color w:val="1F497D" w:themeColor="text2"/>
          <w:sz w:val="24"/>
          <w:szCs w:val="24"/>
          <w:u w:color="000000"/>
        </w:rPr>
        <w:t xml:space="preserve">The Data to Decisions CRC comprises of three research programs: Data Management and Analysis; Image Recognition; and Law and Policy aiming to ‘develop robust tools to maximise the benefits that Australia’s defence and national security sector can extract from big data to reduce national security threats’. </w:t>
      </w:r>
    </w:p>
    <w:p w:rsidR="00E00EBF" w:rsidRPr="00E00EBF" w:rsidRDefault="00E00EBF" w:rsidP="00E00EBF">
      <w:pPr>
        <w:keepLines/>
        <w:spacing w:before="40" w:after="120" w:line="280" w:lineRule="atLeast"/>
        <w:ind w:left="414" w:firstLine="720"/>
        <w:rPr>
          <w:rFonts w:eastAsiaTheme="minorEastAsia" w:cstheme="minorHAnsi"/>
          <w:color w:val="1F497D" w:themeColor="text2"/>
          <w:sz w:val="24"/>
          <w:szCs w:val="24"/>
          <w:u w:color="000000"/>
        </w:rPr>
      </w:pPr>
      <w:r w:rsidRPr="00E00EBF">
        <w:rPr>
          <w:rFonts w:eastAsiaTheme="minorEastAsia" w:cstheme="minorHAnsi"/>
          <w:color w:val="1F497D" w:themeColor="text2"/>
          <w:sz w:val="24"/>
          <w:szCs w:val="24"/>
          <w:u w:color="000000"/>
        </w:rPr>
        <w:t xml:space="preserve">The Deakin School of Law will play a leading role in the new CRC, with </w:t>
      </w:r>
      <w:r w:rsidRPr="0032139A">
        <w:rPr>
          <w:rFonts w:eastAsiaTheme="minorEastAsia" w:cstheme="minorHAnsi"/>
          <w:b/>
          <w:color w:val="C00000"/>
          <w:sz w:val="24"/>
          <w:szCs w:val="24"/>
          <w:u w:color="000000"/>
        </w:rPr>
        <w:t>Prof Louis de Koker</w:t>
      </w:r>
      <w:r w:rsidRPr="00E00EBF">
        <w:rPr>
          <w:rFonts w:eastAsiaTheme="minorEastAsia" w:cstheme="minorHAnsi"/>
          <w:color w:val="1F497D" w:themeColor="text2"/>
          <w:sz w:val="24"/>
          <w:szCs w:val="24"/>
          <w:u w:color="000000"/>
        </w:rPr>
        <w:t xml:space="preserve"> as Program Leader of the Law and Policy research project. Deakin will collaborate with the University of New South Wales Faculty of Law (Prof Janet Chan as the Project leader), and with the Attorney-General’s Division and the Australian Federal Police. The Key Researchers include </w:t>
      </w:r>
      <w:r w:rsidRPr="0032139A">
        <w:rPr>
          <w:rFonts w:eastAsiaTheme="minorEastAsia" w:cstheme="minorHAnsi"/>
          <w:b/>
          <w:color w:val="C00000"/>
          <w:sz w:val="24"/>
          <w:szCs w:val="24"/>
          <w:u w:color="000000"/>
        </w:rPr>
        <w:t>Prof Danuta Mendelson</w:t>
      </w:r>
      <w:r w:rsidRPr="00CB5687">
        <w:rPr>
          <w:rFonts w:eastAsiaTheme="minorEastAsia" w:cstheme="minorHAnsi"/>
          <w:color w:val="C00000"/>
          <w:sz w:val="24"/>
          <w:szCs w:val="24"/>
          <w:u w:color="000000"/>
        </w:rPr>
        <w:t xml:space="preserve"> </w:t>
      </w:r>
      <w:r w:rsidRPr="00E00EBF">
        <w:rPr>
          <w:rFonts w:eastAsiaTheme="minorEastAsia" w:cstheme="minorHAnsi"/>
          <w:color w:val="1F497D" w:themeColor="text2"/>
          <w:sz w:val="24"/>
          <w:szCs w:val="24"/>
          <w:u w:color="000000"/>
        </w:rPr>
        <w:t xml:space="preserve">from the Deakin Law School, and three academics from the Faculty of Law, University of New South Wales. </w:t>
      </w:r>
    </w:p>
    <w:p w:rsidR="00E00EBF" w:rsidRPr="00CB5687" w:rsidRDefault="00E00EBF" w:rsidP="00E00EBF">
      <w:pPr>
        <w:keepLines/>
        <w:spacing w:before="40" w:after="120" w:line="280" w:lineRule="atLeast"/>
        <w:ind w:left="414" w:firstLine="720"/>
        <w:rPr>
          <w:rFonts w:eastAsiaTheme="minorEastAsia" w:cstheme="minorHAnsi"/>
          <w:b/>
          <w:color w:val="1F497D" w:themeColor="text2"/>
          <w:sz w:val="24"/>
          <w:szCs w:val="24"/>
          <w:u w:color="000000"/>
        </w:rPr>
      </w:pPr>
      <w:r w:rsidRPr="00CB5687">
        <w:rPr>
          <w:rFonts w:eastAsiaTheme="minorEastAsia" w:cstheme="minorHAnsi"/>
          <w:b/>
          <w:color w:val="1F497D" w:themeColor="text2"/>
          <w:sz w:val="24"/>
          <w:szCs w:val="24"/>
          <w:u w:color="000000"/>
        </w:rPr>
        <w:t>What is a Cooperative Research Centre?</w:t>
      </w:r>
    </w:p>
    <w:p w:rsidR="00E00EBF" w:rsidRPr="00E00EBF" w:rsidRDefault="00E00EBF" w:rsidP="00E00EBF">
      <w:pPr>
        <w:keepLines/>
        <w:spacing w:before="40" w:after="120" w:line="280" w:lineRule="atLeast"/>
        <w:ind w:left="414" w:firstLine="720"/>
        <w:rPr>
          <w:rFonts w:eastAsiaTheme="minorEastAsia" w:cstheme="minorHAnsi"/>
          <w:color w:val="1F497D" w:themeColor="text2"/>
          <w:sz w:val="24"/>
          <w:szCs w:val="24"/>
          <w:u w:color="000000"/>
        </w:rPr>
      </w:pPr>
      <w:r w:rsidRPr="00E00EBF">
        <w:rPr>
          <w:rFonts w:eastAsiaTheme="minorEastAsia" w:cstheme="minorHAnsi"/>
          <w:color w:val="1F497D" w:themeColor="text2"/>
          <w:sz w:val="24"/>
          <w:szCs w:val="24"/>
          <w:u w:color="000000"/>
        </w:rPr>
        <w:t xml:space="preserve">The Cooperative Research Centres (CRC) program is an Australian Government Initiative administered by </w:t>
      </w:r>
      <w:proofErr w:type="spellStart"/>
      <w:r w:rsidRPr="00E00EBF">
        <w:rPr>
          <w:rFonts w:eastAsiaTheme="minorEastAsia" w:cstheme="minorHAnsi"/>
          <w:color w:val="1F497D" w:themeColor="text2"/>
          <w:sz w:val="24"/>
          <w:szCs w:val="24"/>
          <w:u w:color="000000"/>
        </w:rPr>
        <w:t>AusIndustry</w:t>
      </w:r>
      <w:proofErr w:type="spellEnd"/>
      <w:r w:rsidRPr="00E00EBF">
        <w:rPr>
          <w:rFonts w:eastAsiaTheme="minorEastAsia" w:cstheme="minorHAnsi"/>
          <w:color w:val="1F497D" w:themeColor="text2"/>
          <w:sz w:val="24"/>
          <w:szCs w:val="24"/>
          <w:u w:color="000000"/>
        </w:rPr>
        <w:t>, a division within the Department of Industry. The CRC program supports medium to long-term end user driven research collaborations to address major challenges facing Australia. CRCs pursue solutions to these challenges that are innovative, of high impact and capable of being effectively deployed by the end users. CRCs combine the different research strengths of universities, government agencies and private sector stakeholders.</w:t>
      </w:r>
    </w:p>
    <w:p w:rsidR="00E00EBF" w:rsidRPr="00CB5687" w:rsidRDefault="00E00EBF" w:rsidP="00E00EBF">
      <w:pPr>
        <w:keepLines/>
        <w:spacing w:before="40" w:after="120" w:line="280" w:lineRule="atLeast"/>
        <w:ind w:left="414" w:firstLine="720"/>
        <w:rPr>
          <w:rFonts w:eastAsiaTheme="minorEastAsia" w:cstheme="minorHAnsi"/>
          <w:b/>
          <w:color w:val="1F497D" w:themeColor="text2"/>
          <w:sz w:val="24"/>
          <w:szCs w:val="24"/>
          <w:u w:color="000000"/>
        </w:rPr>
      </w:pPr>
      <w:r w:rsidRPr="00CB5687">
        <w:rPr>
          <w:rFonts w:eastAsiaTheme="minorEastAsia" w:cstheme="minorHAnsi"/>
          <w:b/>
          <w:color w:val="1F497D" w:themeColor="text2"/>
          <w:sz w:val="24"/>
          <w:szCs w:val="24"/>
          <w:u w:color="000000"/>
        </w:rPr>
        <w:t>What will the Data to Decisions CRC Centre do?</w:t>
      </w:r>
    </w:p>
    <w:p w:rsidR="00E00EBF" w:rsidRPr="00E00EBF" w:rsidRDefault="00E00EBF" w:rsidP="00E00EBF">
      <w:pPr>
        <w:keepLines/>
        <w:spacing w:before="40" w:after="120" w:line="280" w:lineRule="atLeast"/>
        <w:ind w:left="414" w:firstLine="720"/>
        <w:rPr>
          <w:rFonts w:eastAsiaTheme="minorEastAsia" w:cstheme="minorHAnsi"/>
          <w:color w:val="1F497D" w:themeColor="text2"/>
          <w:sz w:val="24"/>
          <w:szCs w:val="24"/>
          <w:u w:color="000000"/>
        </w:rPr>
      </w:pPr>
      <w:r w:rsidRPr="00E00EBF">
        <w:rPr>
          <w:rFonts w:eastAsiaTheme="minorEastAsia" w:cstheme="minorHAnsi"/>
          <w:color w:val="1F497D" w:themeColor="text2"/>
          <w:sz w:val="24"/>
          <w:szCs w:val="24"/>
          <w:u w:color="000000"/>
        </w:rPr>
        <w:t xml:space="preserve">The D2D CRC is focused on Australia's Defence and National community and aims to assist them to meet imminent and complex Big Data challenges. The Defence and National Security community is often faced with a daunting challenge: to seek the proverbial needle in the haystack. They attempt to find connections in vast, disparate volumes of data that are imperceptible to humans, but which can be discovered with smart analytics and machine enablement. This challenge is made greater by the wide variety of data sources, and the ever increasing size and scale of the data that is being collected by Defence and National Security agencies. </w:t>
      </w:r>
    </w:p>
    <w:p w:rsidR="00E00EBF" w:rsidRPr="00E00EBF" w:rsidRDefault="00E00EBF" w:rsidP="00E00EBF">
      <w:pPr>
        <w:keepLines/>
        <w:spacing w:before="40" w:after="120" w:line="280" w:lineRule="atLeast"/>
        <w:ind w:left="414" w:firstLine="720"/>
        <w:rPr>
          <w:rFonts w:eastAsiaTheme="minorEastAsia" w:cstheme="minorHAnsi"/>
          <w:color w:val="1F497D" w:themeColor="text2"/>
          <w:sz w:val="24"/>
          <w:szCs w:val="24"/>
          <w:u w:color="000000"/>
        </w:rPr>
      </w:pPr>
      <w:r w:rsidRPr="00E00EBF">
        <w:rPr>
          <w:rFonts w:eastAsiaTheme="minorEastAsia" w:cstheme="minorHAnsi"/>
          <w:color w:val="1F497D" w:themeColor="text2"/>
          <w:sz w:val="24"/>
          <w:szCs w:val="24"/>
          <w:u w:color="000000"/>
        </w:rPr>
        <w:lastRenderedPageBreak/>
        <w:t xml:space="preserve">The Data to Decisions Cooperative Research Centre (D2D CRC) will bring together world-class capabilities and establish a research collaboration framework across academia, industry and Government to collectively tackle Defence and National Security Big Data challenges and grow Australia's broader capacity for data innovation. </w:t>
      </w:r>
    </w:p>
    <w:p w:rsidR="00E00EBF" w:rsidRPr="00E00EBF" w:rsidRDefault="00E00EBF" w:rsidP="00E00EBF">
      <w:pPr>
        <w:keepLines/>
        <w:spacing w:before="40" w:after="120" w:line="280" w:lineRule="atLeast"/>
        <w:ind w:left="414" w:firstLine="720"/>
        <w:rPr>
          <w:rFonts w:eastAsiaTheme="minorEastAsia" w:cstheme="minorHAnsi"/>
          <w:color w:val="1F497D" w:themeColor="text2"/>
          <w:sz w:val="24"/>
          <w:szCs w:val="24"/>
          <w:u w:color="000000"/>
        </w:rPr>
      </w:pPr>
      <w:r w:rsidRPr="00E00EBF">
        <w:rPr>
          <w:rFonts w:eastAsiaTheme="minorEastAsia" w:cstheme="minorHAnsi"/>
          <w:color w:val="1F497D" w:themeColor="text2"/>
          <w:sz w:val="24"/>
          <w:szCs w:val="24"/>
          <w:u w:color="000000"/>
        </w:rPr>
        <w:t xml:space="preserve">The D2D CRC secured 12 industry partners including SAS (Business Analytics software), PwC (PricewaterhouseCoopers), </w:t>
      </w:r>
      <w:proofErr w:type="spellStart"/>
      <w:r w:rsidRPr="00E00EBF">
        <w:rPr>
          <w:rFonts w:eastAsiaTheme="minorEastAsia" w:cstheme="minorHAnsi"/>
          <w:color w:val="1F497D" w:themeColor="text2"/>
          <w:sz w:val="24"/>
          <w:szCs w:val="24"/>
          <w:u w:color="000000"/>
        </w:rPr>
        <w:t>Genix</w:t>
      </w:r>
      <w:proofErr w:type="spellEnd"/>
      <w:r w:rsidRPr="00E00EBF">
        <w:rPr>
          <w:rFonts w:eastAsiaTheme="minorEastAsia" w:cstheme="minorHAnsi"/>
          <w:color w:val="1F497D" w:themeColor="text2"/>
          <w:sz w:val="24"/>
          <w:szCs w:val="24"/>
          <w:u w:color="000000"/>
        </w:rPr>
        <w:t xml:space="preserve"> (management consulting, risk management, process optimization), and the Institute of Analytics Professionals of Australia. Government partners of the CRC include the Australian Federal Police, Attorney-General’s department, and the Department of Defence.</w:t>
      </w:r>
    </w:p>
    <w:p w:rsidR="00E00EBF" w:rsidRPr="00E00EBF" w:rsidRDefault="00E00EBF" w:rsidP="00E00EBF">
      <w:pPr>
        <w:keepLines/>
        <w:spacing w:before="40" w:after="120" w:line="280" w:lineRule="atLeast"/>
        <w:ind w:left="414" w:firstLine="720"/>
        <w:rPr>
          <w:rFonts w:eastAsiaTheme="minorEastAsia" w:cstheme="minorHAnsi"/>
          <w:color w:val="1F497D" w:themeColor="text2"/>
          <w:sz w:val="24"/>
          <w:szCs w:val="24"/>
          <w:u w:color="000000"/>
        </w:rPr>
      </w:pPr>
      <w:r w:rsidRPr="00E00EBF">
        <w:rPr>
          <w:rFonts w:eastAsiaTheme="minorEastAsia" w:cstheme="minorHAnsi"/>
          <w:color w:val="1F497D" w:themeColor="text2"/>
          <w:sz w:val="24"/>
          <w:szCs w:val="24"/>
          <w:u w:color="000000"/>
        </w:rPr>
        <w:t xml:space="preserve">Five universities are involved: Deakin, UniSA, UNSW, University of Adelaide and Carnegie Mellon (Australia). </w:t>
      </w:r>
    </w:p>
    <w:p w:rsidR="00E00EBF" w:rsidRPr="00E00EBF" w:rsidRDefault="00E00EBF" w:rsidP="00E00EBF">
      <w:pPr>
        <w:keepLines/>
        <w:spacing w:before="40" w:after="120" w:line="280" w:lineRule="atLeast"/>
        <w:ind w:left="414" w:firstLine="720"/>
        <w:rPr>
          <w:rFonts w:eastAsiaTheme="minorEastAsia" w:cstheme="minorHAnsi"/>
          <w:color w:val="1F497D" w:themeColor="text2"/>
          <w:sz w:val="24"/>
          <w:szCs w:val="24"/>
          <w:u w:color="000000"/>
        </w:rPr>
      </w:pPr>
      <w:r w:rsidRPr="00E00EBF">
        <w:rPr>
          <w:rFonts w:eastAsiaTheme="minorEastAsia" w:cstheme="minorHAnsi"/>
          <w:color w:val="1F497D" w:themeColor="text2"/>
          <w:sz w:val="24"/>
          <w:szCs w:val="24"/>
          <w:u w:color="000000"/>
        </w:rPr>
        <w:t>The CRC will be based in Adelaide, and Deakin School of Law and the School of Information and Business Analytics will be key partners. The School of Information and Business Analytics will play a key role in the D2D CRC’s Education and Training program. The education and training program plans to train 50 PhD students and 1000 data scientists.</w:t>
      </w:r>
    </w:p>
    <w:p w:rsidR="00E00EBF" w:rsidRPr="00CB5687" w:rsidRDefault="00E00EBF" w:rsidP="00E00EBF">
      <w:pPr>
        <w:keepLines/>
        <w:spacing w:before="40" w:after="120" w:line="280" w:lineRule="atLeast"/>
        <w:ind w:left="414" w:firstLine="720"/>
        <w:rPr>
          <w:rFonts w:eastAsiaTheme="minorEastAsia" w:cstheme="minorHAnsi"/>
          <w:b/>
          <w:color w:val="1F497D" w:themeColor="text2"/>
          <w:sz w:val="24"/>
          <w:szCs w:val="24"/>
          <w:u w:color="000000"/>
        </w:rPr>
      </w:pPr>
      <w:r w:rsidRPr="00CB5687">
        <w:rPr>
          <w:rFonts w:eastAsiaTheme="minorEastAsia" w:cstheme="minorHAnsi"/>
          <w:b/>
          <w:color w:val="1F497D" w:themeColor="text2"/>
          <w:sz w:val="24"/>
          <w:szCs w:val="24"/>
          <w:u w:color="000000"/>
        </w:rPr>
        <w:t>The School of Law and the D2D CRC</w:t>
      </w:r>
    </w:p>
    <w:p w:rsidR="00E00EBF" w:rsidRPr="00E00EBF" w:rsidRDefault="00E00EBF" w:rsidP="00E00EBF">
      <w:pPr>
        <w:keepLines/>
        <w:spacing w:before="40" w:after="120" w:line="280" w:lineRule="atLeast"/>
        <w:ind w:left="414" w:firstLine="720"/>
        <w:rPr>
          <w:rFonts w:eastAsiaTheme="minorEastAsia" w:cstheme="minorHAnsi"/>
          <w:color w:val="1F497D" w:themeColor="text2"/>
          <w:sz w:val="24"/>
          <w:szCs w:val="24"/>
          <w:u w:color="000000"/>
        </w:rPr>
      </w:pPr>
      <w:r w:rsidRPr="00E00EBF">
        <w:rPr>
          <w:rFonts w:eastAsiaTheme="minorEastAsia" w:cstheme="minorHAnsi"/>
          <w:color w:val="1F497D" w:themeColor="text2"/>
          <w:sz w:val="24"/>
          <w:szCs w:val="24"/>
          <w:u w:color="000000"/>
        </w:rPr>
        <w:t>One research project in the Law and Policy program will focus for example on the Big Data Technology and National Security: Comparative International Perspectives on Strategy, Policy and Law research project. The research team will examine the policies, regulatory approaches, processes and strategies used by several countries to balance the management and exploitation of Big Data for law enforcement and national security purposes, while safeguarding confidentiality and security of sensitive personal information, as well as the accuracy of data sets. The research will aim to maximise benefits of Big Data technology for Australia while avoiding potential risks and maintaining the trust of the Australian population in our democratic institutions.</w:t>
      </w:r>
    </w:p>
    <w:p w:rsidR="00E00EBF" w:rsidRPr="00CB5687" w:rsidRDefault="00E00EBF" w:rsidP="00E00EBF">
      <w:pPr>
        <w:keepLines/>
        <w:spacing w:before="40" w:after="120" w:line="280" w:lineRule="atLeast"/>
        <w:ind w:left="414" w:firstLine="720"/>
        <w:rPr>
          <w:rFonts w:eastAsiaTheme="minorEastAsia" w:cstheme="minorHAnsi"/>
          <w:b/>
          <w:color w:val="1F497D" w:themeColor="text2"/>
          <w:sz w:val="24"/>
          <w:szCs w:val="24"/>
          <w:u w:color="000000"/>
        </w:rPr>
      </w:pPr>
      <w:r w:rsidRPr="00CB5687">
        <w:rPr>
          <w:rFonts w:eastAsiaTheme="minorEastAsia" w:cstheme="minorHAnsi"/>
          <w:b/>
          <w:color w:val="1F497D" w:themeColor="text2"/>
          <w:sz w:val="24"/>
          <w:szCs w:val="24"/>
          <w:u w:color="000000"/>
        </w:rPr>
        <w:t xml:space="preserve">Implications for the </w:t>
      </w:r>
      <w:r w:rsidR="00CB5687">
        <w:rPr>
          <w:rFonts w:eastAsiaTheme="minorEastAsia" w:cstheme="minorHAnsi"/>
          <w:b/>
          <w:color w:val="1F497D" w:themeColor="text2"/>
          <w:sz w:val="24"/>
          <w:szCs w:val="24"/>
          <w:u w:color="000000"/>
        </w:rPr>
        <w:t xml:space="preserve">Deakin Law </w:t>
      </w:r>
      <w:r w:rsidRPr="00CB5687">
        <w:rPr>
          <w:rFonts w:eastAsiaTheme="minorEastAsia" w:cstheme="minorHAnsi"/>
          <w:b/>
          <w:color w:val="1F497D" w:themeColor="text2"/>
          <w:sz w:val="24"/>
          <w:szCs w:val="24"/>
          <w:u w:color="000000"/>
        </w:rPr>
        <w:t>School</w:t>
      </w:r>
    </w:p>
    <w:p w:rsidR="0032139A" w:rsidRDefault="00E00EBF" w:rsidP="00E00EBF">
      <w:pPr>
        <w:keepLines/>
        <w:spacing w:before="40" w:after="120" w:line="280" w:lineRule="atLeast"/>
        <w:ind w:left="414" w:firstLine="720"/>
        <w:rPr>
          <w:rFonts w:eastAsiaTheme="minorEastAsia" w:cstheme="minorHAnsi"/>
          <w:color w:val="1F497D" w:themeColor="text2"/>
          <w:sz w:val="24"/>
          <w:szCs w:val="24"/>
          <w:u w:color="000000"/>
        </w:rPr>
      </w:pPr>
      <w:r w:rsidRPr="00E00EBF">
        <w:rPr>
          <w:rFonts w:eastAsiaTheme="minorEastAsia" w:cstheme="minorHAnsi"/>
          <w:color w:val="1F497D" w:themeColor="text2"/>
          <w:sz w:val="24"/>
          <w:szCs w:val="24"/>
          <w:u w:color="000000"/>
        </w:rPr>
        <w:t xml:space="preserve">The CRC research will put the Deakin School of Law at the head of a high profile research program. It will deepen the School’s research collaboration with other universities and with government. </w:t>
      </w:r>
    </w:p>
    <w:p w:rsidR="0032139A" w:rsidRDefault="0032139A" w:rsidP="00E00EBF">
      <w:pPr>
        <w:keepLines/>
        <w:spacing w:before="40" w:after="120" w:line="280" w:lineRule="atLeast"/>
        <w:ind w:left="414" w:firstLine="720"/>
        <w:rPr>
          <w:rFonts w:eastAsiaTheme="minorEastAsia" w:cstheme="minorHAnsi"/>
          <w:color w:val="1F497D" w:themeColor="text2"/>
          <w:sz w:val="24"/>
          <w:szCs w:val="24"/>
          <w:u w:color="000000"/>
        </w:rPr>
      </w:pPr>
      <w:r w:rsidRPr="0032139A">
        <w:rPr>
          <w:rFonts w:eastAsiaTheme="minorEastAsia" w:cstheme="minorHAnsi"/>
          <w:color w:val="1F497D" w:themeColor="text2"/>
          <w:sz w:val="24"/>
          <w:szCs w:val="24"/>
          <w:u w:color="000000"/>
        </w:rPr>
        <w:t>Being funded as the essential partner in the Cooperative Research Centre is a major step towards lifting the research profile of the Law School at Deakin University, in Australia, and globally.</w:t>
      </w:r>
    </w:p>
    <w:p w:rsidR="00E00EBF" w:rsidRDefault="00E00EBF" w:rsidP="00E00EBF">
      <w:pPr>
        <w:keepLines/>
        <w:spacing w:before="40" w:after="120" w:line="280" w:lineRule="atLeast"/>
        <w:ind w:left="414" w:firstLine="720"/>
        <w:rPr>
          <w:rFonts w:eastAsiaTheme="minorEastAsia" w:cstheme="minorHAnsi"/>
          <w:color w:val="1F497D" w:themeColor="text2"/>
          <w:sz w:val="24"/>
          <w:szCs w:val="24"/>
          <w:u w:color="000000"/>
        </w:rPr>
      </w:pPr>
      <w:r w:rsidRPr="00E00EBF">
        <w:rPr>
          <w:rFonts w:eastAsiaTheme="minorEastAsia" w:cstheme="minorHAnsi"/>
          <w:color w:val="1F497D" w:themeColor="text2"/>
          <w:sz w:val="24"/>
          <w:szCs w:val="24"/>
          <w:u w:color="000000"/>
        </w:rPr>
        <w:t>Within Deakin it will also provide space for increased cooperation between the School of Law and the School for Information and Business Analytics. We will receive funding for a number of doctoral candidates and may also be able to engage additional researchers.</w:t>
      </w:r>
      <w:r w:rsidR="0032139A">
        <w:rPr>
          <w:rFonts w:eastAsiaTheme="minorEastAsia" w:cstheme="minorHAnsi"/>
          <w:color w:val="1F497D" w:themeColor="text2"/>
          <w:sz w:val="24"/>
          <w:szCs w:val="24"/>
          <w:u w:color="000000"/>
        </w:rPr>
        <w:t xml:space="preserve"> </w:t>
      </w:r>
      <w:r w:rsidRPr="00E00EBF">
        <w:rPr>
          <w:rFonts w:eastAsiaTheme="minorEastAsia" w:cstheme="minorHAnsi"/>
          <w:color w:val="1F497D" w:themeColor="text2"/>
          <w:sz w:val="24"/>
          <w:szCs w:val="24"/>
          <w:u w:color="000000"/>
        </w:rPr>
        <w:t xml:space="preserve">The research program of the CRC will crystallise over the next few months. Interesting opportunities for involvement may arise for other members of the School and we will keep you informed of developments. Anyone who is interested in this research program is welcome to contact </w:t>
      </w:r>
      <w:r w:rsidRPr="0032139A">
        <w:rPr>
          <w:rFonts w:eastAsiaTheme="minorEastAsia" w:cstheme="minorHAnsi"/>
          <w:b/>
          <w:color w:val="C00000"/>
          <w:sz w:val="24"/>
          <w:szCs w:val="24"/>
          <w:u w:color="000000"/>
        </w:rPr>
        <w:t>Louis</w:t>
      </w:r>
      <w:r w:rsidRPr="00E00EBF">
        <w:rPr>
          <w:rFonts w:eastAsiaTheme="minorEastAsia" w:cstheme="minorHAnsi"/>
          <w:color w:val="1F497D" w:themeColor="text2"/>
          <w:sz w:val="24"/>
          <w:szCs w:val="24"/>
          <w:u w:color="000000"/>
        </w:rPr>
        <w:t>.</w:t>
      </w:r>
    </w:p>
    <w:p w:rsidR="00B965D3" w:rsidRDefault="00B965D3" w:rsidP="00B965D3">
      <w:pPr>
        <w:keepLines/>
        <w:spacing w:before="40" w:after="120" w:line="280" w:lineRule="atLeast"/>
        <w:ind w:left="414" w:firstLine="720"/>
        <w:jc w:val="center"/>
        <w:rPr>
          <w:rFonts w:cstheme="minorHAnsi"/>
          <w:b/>
          <w:color w:val="C00000"/>
          <w:sz w:val="32"/>
          <w:szCs w:val="32"/>
        </w:rPr>
      </w:pPr>
      <w:r w:rsidRPr="000C58B3">
        <w:rPr>
          <w:rFonts w:cstheme="minorHAnsi"/>
          <w:b/>
          <w:color w:val="C00000"/>
          <w:sz w:val="32"/>
          <w:szCs w:val="32"/>
        </w:rPr>
        <w:lastRenderedPageBreak/>
        <w:t>RESEARCH IMPACT</w:t>
      </w:r>
    </w:p>
    <w:p w:rsidR="00F81189" w:rsidRDefault="00F81189" w:rsidP="00F81189">
      <w:pPr>
        <w:keepLines/>
        <w:spacing w:before="40" w:after="120" w:line="280" w:lineRule="atLeast"/>
        <w:ind w:left="414" w:firstLine="720"/>
        <w:rPr>
          <w:color w:val="1F497D" w:themeColor="text2"/>
        </w:rPr>
      </w:pPr>
      <w:r w:rsidRPr="00F81189">
        <w:rPr>
          <w:b/>
          <w:color w:val="C00000"/>
        </w:rPr>
        <w:t>Samantha Hepburn</w:t>
      </w:r>
      <w:r w:rsidRPr="00F81189">
        <w:rPr>
          <w:color w:val="1F497D" w:themeColor="text2"/>
        </w:rPr>
        <w:t xml:space="preserve">’s article 'Does Unconventional Gas Require Unconventional Ownership: An Analysis of the Functionality of Ownership Frameworks for Unconventional Gas Development’ will be presented as a seminar for the New York University Law School with Professor Katrina Wyman, Sarah Herring </w:t>
      </w:r>
      <w:proofErr w:type="spellStart"/>
      <w:r w:rsidRPr="00F81189">
        <w:rPr>
          <w:color w:val="1F497D" w:themeColor="text2"/>
        </w:rPr>
        <w:t>Sorin</w:t>
      </w:r>
      <w:proofErr w:type="spellEnd"/>
      <w:r w:rsidRPr="00F81189">
        <w:rPr>
          <w:color w:val="1F497D" w:themeColor="text2"/>
        </w:rPr>
        <w:t xml:space="preserve"> Professor of Law Director, Environmental Law LL.M Program, on Friday April 25th, 2014. </w:t>
      </w:r>
    </w:p>
    <w:p w:rsidR="00F81189" w:rsidRDefault="00F81189" w:rsidP="00F81189">
      <w:pPr>
        <w:keepLines/>
        <w:spacing w:before="40" w:after="120" w:line="280" w:lineRule="atLeast"/>
        <w:ind w:left="414" w:firstLine="720"/>
        <w:rPr>
          <w:color w:val="1F497D" w:themeColor="text2"/>
        </w:rPr>
      </w:pPr>
      <w:r w:rsidRPr="00F81189">
        <w:rPr>
          <w:b/>
          <w:color w:val="C00000"/>
        </w:rPr>
        <w:t>Samantha Hepburn</w:t>
      </w:r>
      <w:r w:rsidRPr="00F81189">
        <w:rPr>
          <w:color w:val="C00000"/>
        </w:rPr>
        <w:t xml:space="preserve"> </w:t>
      </w:r>
      <w:r w:rsidRPr="00F81189">
        <w:rPr>
          <w:color w:val="1F497D" w:themeColor="text2"/>
        </w:rPr>
        <w:t xml:space="preserve">has been appointed as the new Natural Resources Section editor for the </w:t>
      </w:r>
      <w:r w:rsidRPr="00F81189">
        <w:rPr>
          <w:i/>
          <w:color w:val="1F497D" w:themeColor="text2"/>
        </w:rPr>
        <w:t>Property Law Review</w:t>
      </w:r>
      <w:r w:rsidRPr="00F81189">
        <w:rPr>
          <w:color w:val="1F497D" w:themeColor="text2"/>
        </w:rPr>
        <w:t xml:space="preserve">.  </w:t>
      </w:r>
    </w:p>
    <w:p w:rsidR="0032139A" w:rsidRPr="0032139A" w:rsidRDefault="0032139A" w:rsidP="0032139A">
      <w:pPr>
        <w:keepLines/>
        <w:spacing w:before="40" w:after="120" w:line="280" w:lineRule="atLeast"/>
        <w:ind w:left="414" w:firstLine="720"/>
        <w:rPr>
          <w:color w:val="1F497D" w:themeColor="text2"/>
        </w:rPr>
      </w:pPr>
      <w:r w:rsidRPr="00F81189">
        <w:rPr>
          <w:b/>
          <w:color w:val="C00000"/>
        </w:rPr>
        <w:t>Samantha Hepburn</w:t>
      </w:r>
      <w:r w:rsidRPr="00F81189">
        <w:rPr>
          <w:color w:val="C00000"/>
        </w:rPr>
        <w:t xml:space="preserve"> </w:t>
      </w:r>
      <w:r w:rsidRPr="0032139A">
        <w:rPr>
          <w:color w:val="1F497D" w:themeColor="text2"/>
        </w:rPr>
        <w:t xml:space="preserve">has been asked to give the Kirby Seminar at the UNE on 14th May, 2014 </w:t>
      </w:r>
      <w:r>
        <w:rPr>
          <w:color w:val="1F497D" w:themeColor="text2"/>
        </w:rPr>
        <w:t xml:space="preserve">on </w:t>
      </w:r>
      <w:r w:rsidRPr="0032139A">
        <w:rPr>
          <w:color w:val="1F497D" w:themeColor="text2"/>
        </w:rPr>
        <w:t>'Moving Forward: The Strategic Development of Natural Resources in Australia in an Era of Energy Revolution'. The seminar will be podcast; however, Samantha will be happy to have it made available to the Deakin Law School also.</w:t>
      </w:r>
    </w:p>
    <w:p w:rsidR="00151379" w:rsidRPr="00151379" w:rsidRDefault="00CB5687" w:rsidP="00F81189">
      <w:pPr>
        <w:keepLines/>
        <w:spacing w:before="40" w:after="120" w:line="280" w:lineRule="atLeast"/>
        <w:ind w:left="414" w:firstLine="720"/>
        <w:rPr>
          <w:rStyle w:val="Hyperlink"/>
          <w:rFonts w:eastAsiaTheme="minorEastAsia" w:cstheme="minorHAnsi"/>
          <w:color w:val="1F497D" w:themeColor="text2"/>
          <w:u w:color="000000"/>
        </w:rPr>
      </w:pPr>
      <w:r w:rsidRPr="00674D70">
        <w:rPr>
          <w:rFonts w:eastAsiaTheme="minorEastAsia" w:cstheme="minorHAnsi"/>
          <w:b/>
          <w:color w:val="C00000"/>
          <w:u w:color="000000"/>
        </w:rPr>
        <w:t>Danuta Mendelson</w:t>
      </w:r>
      <w:r w:rsidRPr="00674D70">
        <w:rPr>
          <w:rFonts w:eastAsiaTheme="minorEastAsia" w:cstheme="minorHAnsi"/>
          <w:color w:val="C00000"/>
          <w:u w:color="000000"/>
        </w:rPr>
        <w:t xml:space="preserve"> </w:t>
      </w:r>
      <w:r w:rsidRPr="00674D70">
        <w:rPr>
          <w:rFonts w:eastAsiaTheme="minorEastAsia" w:cstheme="minorHAnsi"/>
          <w:color w:val="1F497D" w:themeColor="text2"/>
          <w:u w:color="000000"/>
        </w:rPr>
        <w:t xml:space="preserve">has been </w:t>
      </w:r>
      <w:r w:rsidR="00674D70">
        <w:rPr>
          <w:rFonts w:eastAsiaTheme="minorEastAsia" w:cstheme="minorHAnsi"/>
          <w:color w:val="1F497D" w:themeColor="text2"/>
          <w:u w:color="000000"/>
        </w:rPr>
        <w:t xml:space="preserve">invited to join the International Scientific Committee for the </w:t>
      </w:r>
      <w:proofErr w:type="spellStart"/>
      <w:r w:rsidR="00674D70" w:rsidRPr="00674D70">
        <w:rPr>
          <w:rFonts w:eastAsiaTheme="minorEastAsia" w:cstheme="minorHAnsi"/>
          <w:color w:val="1F497D" w:themeColor="text2"/>
          <w:u w:color="000000"/>
        </w:rPr>
        <w:t>XXXIVth</w:t>
      </w:r>
      <w:proofErr w:type="spellEnd"/>
      <w:r w:rsidR="00674D70" w:rsidRPr="00674D70">
        <w:rPr>
          <w:rFonts w:eastAsiaTheme="minorEastAsia" w:cstheme="minorHAnsi"/>
          <w:color w:val="1F497D" w:themeColor="text2"/>
          <w:u w:color="000000"/>
        </w:rPr>
        <w:t xml:space="preserve"> International Congress on Law and Mental Health will take place in Vienna </w:t>
      </w:r>
      <w:r w:rsidR="0032139A">
        <w:rPr>
          <w:rFonts w:eastAsiaTheme="minorEastAsia" w:cstheme="minorHAnsi"/>
          <w:color w:val="1F497D" w:themeColor="text2"/>
          <w:u w:color="000000"/>
        </w:rPr>
        <w:t>(J</w:t>
      </w:r>
      <w:r w:rsidR="00674D70" w:rsidRPr="00674D70">
        <w:rPr>
          <w:rFonts w:eastAsiaTheme="minorEastAsia" w:cstheme="minorHAnsi"/>
          <w:color w:val="1F497D" w:themeColor="text2"/>
          <w:u w:color="000000"/>
        </w:rPr>
        <w:t>uly 12-17, 2015</w:t>
      </w:r>
      <w:r w:rsidR="0032139A">
        <w:rPr>
          <w:rFonts w:eastAsiaTheme="minorEastAsia" w:cstheme="minorHAnsi"/>
          <w:color w:val="1F497D" w:themeColor="text2"/>
          <w:u w:color="000000"/>
        </w:rPr>
        <w:t>)</w:t>
      </w:r>
      <w:r w:rsidR="00674D70" w:rsidRPr="00674D70">
        <w:rPr>
          <w:rFonts w:eastAsiaTheme="minorEastAsia" w:cstheme="minorHAnsi"/>
          <w:color w:val="1F497D" w:themeColor="text2"/>
          <w:u w:color="000000"/>
        </w:rPr>
        <w:t>.</w:t>
      </w:r>
      <w:r w:rsidR="00674D70">
        <w:rPr>
          <w:rFonts w:eastAsiaTheme="minorEastAsia" w:cstheme="minorHAnsi"/>
          <w:color w:val="1F497D" w:themeColor="text2"/>
          <w:u w:color="000000"/>
        </w:rPr>
        <w:t xml:space="preserve"> </w:t>
      </w:r>
      <w:hyperlink r:id="rId13" w:history="1">
        <w:r w:rsidR="00674D70" w:rsidRPr="004F51E5">
          <w:rPr>
            <w:rStyle w:val="Hyperlink"/>
            <w:rFonts w:eastAsiaTheme="minorEastAsia" w:cstheme="minorHAnsi"/>
            <w:u w:color="000000"/>
          </w:rPr>
          <w:t>http://www.ialmh.org/template.cgi</w:t>
        </w:r>
      </w:hyperlink>
      <w:r w:rsidR="00151379">
        <w:rPr>
          <w:rStyle w:val="Hyperlink"/>
          <w:rFonts w:eastAsiaTheme="minorEastAsia" w:cstheme="minorHAnsi"/>
          <w:u w:color="000000"/>
        </w:rPr>
        <w:t xml:space="preserve"> </w:t>
      </w:r>
      <w:r w:rsidR="00151379" w:rsidRPr="00151379">
        <w:rPr>
          <w:rFonts w:eastAsiaTheme="minorEastAsia" w:cstheme="minorHAnsi"/>
          <w:color w:val="1F497D" w:themeColor="text2"/>
          <w:u w:color="000000"/>
        </w:rPr>
        <w:t xml:space="preserve">Those interested in presenting papers at the Congress are encouraged to </w:t>
      </w:r>
      <w:r w:rsidR="00151379">
        <w:rPr>
          <w:rFonts w:eastAsiaTheme="minorEastAsia" w:cstheme="minorHAnsi"/>
          <w:color w:val="1F497D" w:themeColor="text2"/>
          <w:u w:color="000000"/>
        </w:rPr>
        <w:t xml:space="preserve">submit abstracts in accordance with the guidance </w:t>
      </w:r>
      <w:r w:rsidR="0032139A">
        <w:rPr>
          <w:rFonts w:eastAsiaTheme="minorEastAsia" w:cstheme="minorHAnsi"/>
          <w:color w:val="1F497D" w:themeColor="text2"/>
          <w:u w:color="000000"/>
        </w:rPr>
        <w:t xml:space="preserve">provided </w:t>
      </w:r>
      <w:r w:rsidR="00151379">
        <w:rPr>
          <w:rFonts w:eastAsiaTheme="minorEastAsia" w:cstheme="minorHAnsi"/>
          <w:color w:val="1F497D" w:themeColor="text2"/>
          <w:u w:color="000000"/>
        </w:rPr>
        <w:t>on the website.</w:t>
      </w:r>
    </w:p>
    <w:p w:rsidR="00F81189" w:rsidRDefault="00F81189" w:rsidP="00F81189">
      <w:pPr>
        <w:pStyle w:val="PlainText"/>
      </w:pPr>
    </w:p>
    <w:p w:rsidR="00B965D3" w:rsidRDefault="00B965D3" w:rsidP="00B965D3">
      <w:pPr>
        <w:keepLines/>
        <w:spacing w:before="40" w:after="120" w:line="280" w:lineRule="atLeast"/>
        <w:ind w:left="414" w:firstLine="720"/>
        <w:jc w:val="center"/>
        <w:rPr>
          <w:rFonts w:eastAsiaTheme="minorEastAsia" w:cstheme="minorHAnsi"/>
          <w:b/>
          <w:color w:val="C00000"/>
          <w:sz w:val="28"/>
          <w:szCs w:val="28"/>
          <w:u w:color="000000"/>
          <w:lang w:val="en-US"/>
        </w:rPr>
      </w:pPr>
      <w:r>
        <w:rPr>
          <w:rFonts w:eastAsiaTheme="minorEastAsia" w:cstheme="minorHAnsi"/>
          <w:b/>
          <w:color w:val="C00000"/>
          <w:sz w:val="28"/>
          <w:szCs w:val="28"/>
          <w:u w:color="000000"/>
          <w:lang w:val="en-US"/>
        </w:rPr>
        <w:t>DEAKIN LAW SCHOOL RESEARCH SEMINARS</w:t>
      </w:r>
    </w:p>
    <w:p w:rsidR="00B965D3" w:rsidRPr="009B1999" w:rsidRDefault="00B965D3" w:rsidP="00B965D3">
      <w:pPr>
        <w:keepLines/>
        <w:spacing w:before="40" w:after="120" w:line="280" w:lineRule="atLeast"/>
        <w:ind w:left="414" w:firstLine="720"/>
        <w:jc w:val="center"/>
        <w:rPr>
          <w:rFonts w:eastAsiaTheme="minorEastAsia" w:cstheme="minorHAnsi"/>
          <w:color w:val="1F497D" w:themeColor="text2"/>
          <w:u w:color="000000"/>
        </w:rPr>
      </w:pPr>
      <w:r w:rsidRPr="008A5A2F">
        <w:rPr>
          <w:b/>
          <w:color w:val="7030A0"/>
          <w:sz w:val="32"/>
          <w:szCs w:val="32"/>
          <w:lang w:val="en-US"/>
        </w:rPr>
        <w:t>Please let me know if you would like to present a research seminar</w:t>
      </w:r>
      <w:r>
        <w:rPr>
          <w:b/>
          <w:color w:val="7030A0"/>
          <w:sz w:val="32"/>
          <w:szCs w:val="32"/>
          <w:lang w:val="en-US"/>
        </w:rPr>
        <w:t xml:space="preserve">: </w:t>
      </w:r>
      <w:r w:rsidRPr="008A5A2F">
        <w:rPr>
          <w:b/>
          <w:color w:val="7030A0"/>
          <w:sz w:val="32"/>
          <w:szCs w:val="32"/>
          <w:lang w:val="en-US"/>
        </w:rPr>
        <w:t>topic and date</w:t>
      </w:r>
    </w:p>
    <w:p w:rsidR="00737065" w:rsidRDefault="00B965D3" w:rsidP="00737065">
      <w:pPr>
        <w:pStyle w:val="BodyText"/>
        <w:spacing w:after="0" w:line="240" w:lineRule="auto"/>
        <w:rPr>
          <w:b/>
          <w:color w:val="1F497D" w:themeColor="text2"/>
          <w:lang w:val="en-US"/>
        </w:rPr>
      </w:pPr>
      <w:r w:rsidRPr="00737065">
        <w:rPr>
          <w:color w:val="1F497D" w:themeColor="text2"/>
          <w:lang w:val="en-US"/>
        </w:rPr>
        <w:t>In March 2014, some of the Research Seminars will be informal, workshop-like discussions and hands-on teaching sessions focused on practical aspects of research. We shall discuss choosing the appropriate journals and book publishers; funding opportunities and progressing grant projects/ideas (in our quest for making the Law School attain ERA Level 4 we need more research grants. Research grants are also becoming a prerequisite to promotions); uploading our publications on Google Scholar to enhance our research profiles.</w:t>
      </w:r>
      <w:r w:rsidR="00737065" w:rsidRPr="00737065">
        <w:rPr>
          <w:b/>
          <w:color w:val="1F497D" w:themeColor="text2"/>
          <w:lang w:val="en-US"/>
        </w:rPr>
        <w:t xml:space="preserve"> </w:t>
      </w:r>
    </w:p>
    <w:p w:rsidR="00737065" w:rsidRPr="00737065" w:rsidRDefault="00737065" w:rsidP="00737065">
      <w:pPr>
        <w:pStyle w:val="BodyText"/>
        <w:spacing w:after="0" w:line="240" w:lineRule="auto"/>
        <w:rPr>
          <w:b/>
          <w:color w:val="1F497D" w:themeColor="text2"/>
          <w:lang w:val="en-US"/>
        </w:rPr>
      </w:pPr>
    </w:p>
    <w:p w:rsidR="00B965D3" w:rsidRPr="00917E47" w:rsidRDefault="00B965D3" w:rsidP="00B965D3">
      <w:pPr>
        <w:pStyle w:val="BodyText"/>
        <w:rPr>
          <w:b/>
          <w:color w:val="7030A0"/>
          <w:sz w:val="24"/>
          <w:szCs w:val="24"/>
          <w:lang w:val="en-US"/>
        </w:rPr>
      </w:pPr>
      <w:r w:rsidRPr="00917E47">
        <w:rPr>
          <w:b/>
          <w:color w:val="7030A0"/>
          <w:sz w:val="24"/>
          <w:szCs w:val="24"/>
          <w:lang w:val="en-US"/>
        </w:rPr>
        <w:t xml:space="preserve">FRIDAY, </w:t>
      </w:r>
      <w:r>
        <w:rPr>
          <w:b/>
          <w:color w:val="7030A0"/>
          <w:sz w:val="24"/>
          <w:szCs w:val="24"/>
          <w:lang w:val="en-US"/>
        </w:rPr>
        <w:t xml:space="preserve">7 March </w:t>
      </w:r>
      <w:r w:rsidRPr="00917E47">
        <w:rPr>
          <w:b/>
          <w:color w:val="7030A0"/>
          <w:sz w:val="24"/>
          <w:szCs w:val="24"/>
          <w:lang w:val="en-US"/>
        </w:rPr>
        <w:t>2014</w:t>
      </w:r>
      <w:r w:rsidR="00674D70">
        <w:rPr>
          <w:b/>
          <w:color w:val="7030A0"/>
          <w:sz w:val="24"/>
          <w:szCs w:val="24"/>
          <w:lang w:val="en-US"/>
        </w:rPr>
        <w:t xml:space="preserve"> at 1</w:t>
      </w:r>
      <w:r w:rsidR="006063D8">
        <w:rPr>
          <w:b/>
          <w:color w:val="7030A0"/>
          <w:sz w:val="24"/>
          <w:szCs w:val="24"/>
          <w:lang w:val="en-US"/>
        </w:rPr>
        <w:t xml:space="preserve">2 </w:t>
      </w:r>
      <w:r w:rsidR="00674D70">
        <w:rPr>
          <w:b/>
          <w:color w:val="7030A0"/>
          <w:sz w:val="24"/>
          <w:szCs w:val="24"/>
          <w:lang w:val="en-US"/>
        </w:rPr>
        <w:t>pm</w:t>
      </w:r>
    </w:p>
    <w:p w:rsidR="00737065" w:rsidRPr="00984054" w:rsidRDefault="00B965D3" w:rsidP="00737065">
      <w:pPr>
        <w:pStyle w:val="BodyText"/>
        <w:spacing w:after="0" w:line="240" w:lineRule="auto"/>
        <w:rPr>
          <w:b/>
          <w:color w:val="1F497D" w:themeColor="text2"/>
          <w:lang w:val="en-US"/>
        </w:rPr>
      </w:pPr>
      <w:r w:rsidRPr="00917E47">
        <w:rPr>
          <w:b/>
          <w:color w:val="1F497D" w:themeColor="text2"/>
          <w:sz w:val="24"/>
          <w:szCs w:val="24"/>
          <w:lang w:val="en-US"/>
        </w:rPr>
        <w:t>How to distinguish between good and dodgy/predatory publishers of journals and books</w:t>
      </w:r>
    </w:p>
    <w:p w:rsidR="00B965D3" w:rsidRPr="00737065" w:rsidRDefault="00B965D3" w:rsidP="00B965D3">
      <w:pPr>
        <w:spacing w:after="0" w:line="240" w:lineRule="auto"/>
        <w:rPr>
          <w:rFonts w:ascii="Calibri" w:eastAsia="Calibri" w:hAnsi="Calibri" w:cs="Calibri"/>
          <w:color w:val="000000"/>
        </w:rPr>
      </w:pPr>
      <w:r w:rsidRPr="00737065">
        <w:rPr>
          <w:color w:val="1F497D" w:themeColor="text2"/>
          <w:lang w:val="en-US"/>
        </w:rPr>
        <w:t xml:space="preserve">Proliferation of predatory publishers of both journals and books is posing risks to many academics. Publication in any one of these may not only affect your pocket, but more importantly, be detrimental to your scholarly reputation and advancement. Academics of all levels have been caught; so it is imperative that we are all aware of the journals and publishers to avoid, while knowing how to </w:t>
      </w:r>
      <w:proofErr w:type="spellStart"/>
      <w:r w:rsidRPr="00737065">
        <w:rPr>
          <w:color w:val="1F497D" w:themeColor="text2"/>
          <w:lang w:val="en-US"/>
        </w:rPr>
        <w:t>recognise</w:t>
      </w:r>
      <w:proofErr w:type="spellEnd"/>
      <w:r w:rsidRPr="00737065">
        <w:rPr>
          <w:color w:val="1F497D" w:themeColor="text2"/>
          <w:lang w:val="en-US"/>
        </w:rPr>
        <w:t xml:space="preserve"> and publish in reputable foreign journals. </w:t>
      </w:r>
    </w:p>
    <w:p w:rsidR="00B965D3" w:rsidRDefault="00B965D3" w:rsidP="00B965D3">
      <w:pPr>
        <w:spacing w:after="0" w:line="240" w:lineRule="auto"/>
        <w:rPr>
          <w:rFonts w:ascii="Calibri" w:eastAsia="Calibri" w:hAnsi="Calibri" w:cs="Calibri"/>
          <w:color w:val="000000"/>
        </w:rPr>
      </w:pPr>
      <w:r w:rsidRPr="00737065">
        <w:rPr>
          <w:color w:val="1F497D" w:themeColor="text2"/>
          <w:lang w:val="en-US"/>
        </w:rPr>
        <w:t>Our excellent team of Law Librarians has been working on this project, and will provide us with their findings.</w:t>
      </w:r>
      <w:r w:rsidRPr="00737065">
        <w:rPr>
          <w:rFonts w:ascii="Calibri" w:eastAsia="Calibri" w:hAnsi="Calibri" w:cs="Calibri"/>
          <w:color w:val="000000"/>
        </w:rPr>
        <w:t xml:space="preserve"> </w:t>
      </w:r>
    </w:p>
    <w:p w:rsidR="00737065" w:rsidRPr="00737065" w:rsidRDefault="00737065" w:rsidP="00B965D3">
      <w:pPr>
        <w:spacing w:after="0" w:line="240" w:lineRule="auto"/>
        <w:rPr>
          <w:rFonts w:ascii="Calibri" w:eastAsia="Calibri" w:hAnsi="Calibri" w:cs="Calibri"/>
          <w:color w:val="000000"/>
        </w:rPr>
      </w:pPr>
    </w:p>
    <w:p w:rsidR="00B965D3" w:rsidRDefault="00B965D3" w:rsidP="00B965D3">
      <w:pPr>
        <w:pStyle w:val="BodyText"/>
        <w:rPr>
          <w:b/>
          <w:color w:val="7030A0"/>
          <w:sz w:val="24"/>
          <w:szCs w:val="24"/>
          <w:lang w:val="en-US"/>
        </w:rPr>
      </w:pPr>
      <w:r>
        <w:rPr>
          <w:b/>
          <w:color w:val="7030A0"/>
          <w:sz w:val="24"/>
          <w:szCs w:val="24"/>
          <w:lang w:val="en-US"/>
        </w:rPr>
        <w:t>FRIDAY, 14 MARCH 2014</w:t>
      </w:r>
      <w:r w:rsidR="006063D8">
        <w:rPr>
          <w:b/>
          <w:color w:val="7030A0"/>
          <w:sz w:val="24"/>
          <w:szCs w:val="24"/>
          <w:lang w:val="en-US"/>
        </w:rPr>
        <w:t xml:space="preserve"> at 12 pm</w:t>
      </w:r>
    </w:p>
    <w:p w:rsidR="00B965D3" w:rsidRPr="00B63982" w:rsidRDefault="00B965D3" w:rsidP="00B965D3">
      <w:pPr>
        <w:pStyle w:val="BodyText"/>
        <w:rPr>
          <w:b/>
          <w:color w:val="7030A0"/>
          <w:sz w:val="24"/>
          <w:szCs w:val="24"/>
        </w:rPr>
      </w:pPr>
      <w:r w:rsidRPr="00B63982">
        <w:rPr>
          <w:b/>
          <w:bCs/>
          <w:color w:val="C00000"/>
          <w:sz w:val="24"/>
          <w:szCs w:val="24"/>
        </w:rPr>
        <w:t>Richard Coverdale</w:t>
      </w:r>
      <w:r>
        <w:rPr>
          <w:b/>
          <w:bCs/>
          <w:color w:val="C00000"/>
          <w:sz w:val="24"/>
          <w:szCs w:val="24"/>
        </w:rPr>
        <w:t xml:space="preserve">, </w:t>
      </w:r>
      <w:r w:rsidRPr="00B63982">
        <w:rPr>
          <w:b/>
          <w:bCs/>
          <w:color w:val="7030A0"/>
          <w:sz w:val="24"/>
          <w:szCs w:val="24"/>
        </w:rPr>
        <w:t>Director</w:t>
      </w:r>
      <w:r>
        <w:rPr>
          <w:b/>
          <w:bCs/>
          <w:color w:val="7030A0"/>
          <w:sz w:val="24"/>
          <w:szCs w:val="24"/>
        </w:rPr>
        <w:t xml:space="preserve">, </w:t>
      </w:r>
      <w:r w:rsidRPr="00B63982">
        <w:rPr>
          <w:b/>
          <w:bCs/>
          <w:color w:val="7030A0"/>
          <w:sz w:val="24"/>
          <w:szCs w:val="24"/>
        </w:rPr>
        <w:t>Centre for Rural Regional Law and Justice</w:t>
      </w:r>
    </w:p>
    <w:p w:rsidR="00B965D3" w:rsidRPr="009B1999" w:rsidRDefault="00B965D3" w:rsidP="00B965D3">
      <w:pPr>
        <w:keepLines/>
        <w:spacing w:before="40" w:after="120" w:line="280" w:lineRule="atLeast"/>
        <w:ind w:left="414" w:firstLine="720"/>
        <w:rPr>
          <w:rFonts w:eastAsiaTheme="minorEastAsia" w:cstheme="minorHAnsi"/>
          <w:color w:val="1F497D" w:themeColor="text2"/>
          <w:u w:color="000000"/>
        </w:rPr>
      </w:pPr>
      <w:r>
        <w:rPr>
          <w:color w:val="1F497D" w:themeColor="text2"/>
          <w:sz w:val="24"/>
          <w:szCs w:val="24"/>
        </w:rPr>
        <w:lastRenderedPageBreak/>
        <w:t xml:space="preserve">The </w:t>
      </w:r>
      <w:r w:rsidRPr="00B63982">
        <w:rPr>
          <w:color w:val="1F497D" w:themeColor="text2"/>
          <w:sz w:val="24"/>
          <w:szCs w:val="24"/>
        </w:rPr>
        <w:t xml:space="preserve">Centre for Rural Regional Law and Justice </w:t>
      </w:r>
      <w:r>
        <w:rPr>
          <w:color w:val="1F497D" w:themeColor="text2"/>
          <w:sz w:val="24"/>
          <w:szCs w:val="24"/>
        </w:rPr>
        <w:t xml:space="preserve">will </w:t>
      </w:r>
      <w:r w:rsidRPr="00B63982">
        <w:rPr>
          <w:color w:val="1F497D" w:themeColor="text2"/>
          <w:sz w:val="24"/>
          <w:szCs w:val="24"/>
        </w:rPr>
        <w:t>facilitat</w:t>
      </w:r>
      <w:r>
        <w:rPr>
          <w:color w:val="1F497D" w:themeColor="text2"/>
          <w:sz w:val="24"/>
          <w:szCs w:val="24"/>
        </w:rPr>
        <w:t>e</w:t>
      </w:r>
      <w:r w:rsidRPr="00B63982">
        <w:rPr>
          <w:color w:val="1F497D" w:themeColor="text2"/>
          <w:sz w:val="24"/>
          <w:szCs w:val="24"/>
        </w:rPr>
        <w:t xml:space="preserve"> a workshop session, inviting law school staff to discuss your preliminary research ideas with a view to exploring how to move from a conceptual stage to initiating a competitive research grant proposal:</w:t>
      </w:r>
      <w:r w:rsidRPr="00B63982">
        <w:rPr>
          <w:rFonts w:eastAsiaTheme="minorEastAsia" w:cstheme="minorHAnsi"/>
          <w:color w:val="1F497D" w:themeColor="text2"/>
          <w:u w:color="000000"/>
        </w:rPr>
        <w:t xml:space="preserve"> </w:t>
      </w:r>
    </w:p>
    <w:p w:rsidR="00EC65A7" w:rsidRPr="00984054" w:rsidRDefault="00B965D3" w:rsidP="00EC65A7">
      <w:pPr>
        <w:pStyle w:val="BodyText"/>
        <w:spacing w:after="0" w:line="240" w:lineRule="auto"/>
        <w:rPr>
          <w:b/>
          <w:color w:val="1F497D" w:themeColor="text2"/>
          <w:lang w:val="en-US"/>
        </w:rPr>
      </w:pPr>
      <w:r w:rsidRPr="00B63982">
        <w:rPr>
          <w:color w:val="1F497D" w:themeColor="text2"/>
          <w:sz w:val="24"/>
          <w:szCs w:val="24"/>
        </w:rPr>
        <w:t xml:space="preserve">Discussions will include: </w:t>
      </w:r>
    </w:p>
    <w:p w:rsidR="00EC65A7" w:rsidRPr="00984054" w:rsidRDefault="00B965D3" w:rsidP="00EC65A7">
      <w:pPr>
        <w:pStyle w:val="BodyText"/>
        <w:numPr>
          <w:ilvl w:val="0"/>
          <w:numId w:val="3"/>
        </w:numPr>
        <w:spacing w:after="0" w:line="240" w:lineRule="auto"/>
        <w:rPr>
          <w:b/>
          <w:color w:val="1F497D" w:themeColor="text2"/>
          <w:lang w:val="en-US"/>
        </w:rPr>
      </w:pPr>
      <w:r w:rsidRPr="00B63982">
        <w:rPr>
          <w:color w:val="1F497D" w:themeColor="text2"/>
          <w:sz w:val="24"/>
          <w:szCs w:val="24"/>
        </w:rPr>
        <w:t>Targeting potential funding sources – how to find appropriate grant programs</w:t>
      </w:r>
    </w:p>
    <w:p w:rsidR="00EC65A7" w:rsidRPr="00984054" w:rsidRDefault="00B965D3" w:rsidP="00EC65A7">
      <w:pPr>
        <w:pStyle w:val="BodyText"/>
        <w:numPr>
          <w:ilvl w:val="0"/>
          <w:numId w:val="3"/>
        </w:numPr>
        <w:spacing w:after="0" w:line="240" w:lineRule="auto"/>
        <w:rPr>
          <w:b/>
          <w:color w:val="1F497D" w:themeColor="text2"/>
          <w:lang w:val="en-US"/>
        </w:rPr>
      </w:pPr>
      <w:r w:rsidRPr="00B63982">
        <w:rPr>
          <w:color w:val="1F497D" w:themeColor="text2"/>
          <w:sz w:val="24"/>
          <w:szCs w:val="24"/>
        </w:rPr>
        <w:t>Utilising Deakin resources</w:t>
      </w:r>
    </w:p>
    <w:p w:rsidR="00EC65A7" w:rsidRPr="00984054" w:rsidRDefault="00B965D3" w:rsidP="00EC65A7">
      <w:pPr>
        <w:pStyle w:val="BodyText"/>
        <w:numPr>
          <w:ilvl w:val="0"/>
          <w:numId w:val="3"/>
        </w:numPr>
        <w:spacing w:after="0" w:line="240" w:lineRule="auto"/>
        <w:rPr>
          <w:b/>
          <w:color w:val="1F497D" w:themeColor="text2"/>
          <w:lang w:val="en-US"/>
        </w:rPr>
      </w:pPr>
      <w:r w:rsidRPr="00B63982">
        <w:rPr>
          <w:color w:val="1F497D" w:themeColor="text2"/>
          <w:sz w:val="24"/>
          <w:szCs w:val="24"/>
        </w:rPr>
        <w:t xml:space="preserve">Framing proposals which reflect funding criteria </w:t>
      </w:r>
    </w:p>
    <w:p w:rsidR="00EC65A7" w:rsidRPr="00984054" w:rsidRDefault="00B965D3" w:rsidP="00EC65A7">
      <w:pPr>
        <w:pStyle w:val="BodyText"/>
        <w:numPr>
          <w:ilvl w:val="0"/>
          <w:numId w:val="3"/>
        </w:numPr>
        <w:spacing w:after="0" w:line="240" w:lineRule="auto"/>
        <w:rPr>
          <w:b/>
          <w:color w:val="1F497D" w:themeColor="text2"/>
          <w:lang w:val="en-US"/>
        </w:rPr>
      </w:pPr>
      <w:r w:rsidRPr="00B63982">
        <w:rPr>
          <w:color w:val="1F497D" w:themeColor="text2"/>
          <w:sz w:val="24"/>
          <w:szCs w:val="24"/>
        </w:rPr>
        <w:t xml:space="preserve">When and with whom collaborations/partnerships should be considered </w:t>
      </w:r>
    </w:p>
    <w:p w:rsidR="00EC65A7" w:rsidRPr="00984054" w:rsidRDefault="00B965D3" w:rsidP="00EC65A7">
      <w:pPr>
        <w:pStyle w:val="BodyText"/>
        <w:numPr>
          <w:ilvl w:val="0"/>
          <w:numId w:val="3"/>
        </w:numPr>
        <w:spacing w:after="0" w:line="240" w:lineRule="auto"/>
        <w:rPr>
          <w:b/>
          <w:color w:val="1F497D" w:themeColor="text2"/>
          <w:lang w:val="en-US"/>
        </w:rPr>
      </w:pPr>
      <w:r w:rsidRPr="00B63982">
        <w:rPr>
          <w:color w:val="1F497D" w:themeColor="text2"/>
          <w:sz w:val="24"/>
          <w:szCs w:val="24"/>
        </w:rPr>
        <w:t>Designing and managing methodologies.</w:t>
      </w:r>
      <w:r w:rsidRPr="00B63982">
        <w:rPr>
          <w:rFonts w:eastAsiaTheme="minorEastAsia" w:cstheme="minorHAnsi"/>
          <w:color w:val="1F497D" w:themeColor="text2"/>
          <w:u w:color="000000"/>
        </w:rPr>
        <w:t xml:space="preserve"> </w:t>
      </w:r>
    </w:p>
    <w:p w:rsidR="00B965D3" w:rsidRPr="00E24F8D" w:rsidRDefault="00B965D3" w:rsidP="00B965D3">
      <w:pPr>
        <w:keepLines/>
        <w:spacing w:before="40" w:after="120" w:line="280" w:lineRule="atLeast"/>
        <w:ind w:left="414" w:firstLine="720"/>
        <w:rPr>
          <w:rFonts w:eastAsiaTheme="minorEastAsia" w:cstheme="minorHAnsi"/>
          <w:b/>
          <w:color w:val="008000"/>
          <w:u w:color="000000"/>
        </w:rPr>
      </w:pPr>
      <w:r w:rsidRPr="00E24F8D">
        <w:rPr>
          <w:b/>
          <w:color w:val="008000"/>
          <w:sz w:val="24"/>
          <w:szCs w:val="24"/>
        </w:rPr>
        <w:t>Bring along your research ideas to explore!</w:t>
      </w:r>
      <w:r w:rsidRPr="00E24F8D">
        <w:rPr>
          <w:rFonts w:eastAsiaTheme="minorEastAsia" w:cstheme="minorHAnsi"/>
          <w:b/>
          <w:color w:val="008000"/>
          <w:u w:color="000000"/>
        </w:rPr>
        <w:t xml:space="preserve"> </w:t>
      </w:r>
    </w:p>
    <w:p w:rsidR="00737065" w:rsidRPr="00984054" w:rsidRDefault="00B965D3" w:rsidP="00737065">
      <w:pPr>
        <w:pStyle w:val="BodyText"/>
        <w:spacing w:after="0" w:line="240" w:lineRule="auto"/>
        <w:rPr>
          <w:b/>
          <w:color w:val="1F497D" w:themeColor="text2"/>
          <w:lang w:val="en-US"/>
        </w:rPr>
      </w:pPr>
      <w:r w:rsidRPr="00917E47">
        <w:rPr>
          <w:b/>
          <w:color w:val="7030A0"/>
          <w:sz w:val="24"/>
          <w:szCs w:val="24"/>
          <w:lang w:val="en-US"/>
        </w:rPr>
        <w:t>FRIDAY, 21 MARCH 2014</w:t>
      </w:r>
      <w:r w:rsidR="006063D8">
        <w:rPr>
          <w:b/>
          <w:color w:val="7030A0"/>
          <w:sz w:val="24"/>
          <w:szCs w:val="24"/>
          <w:lang w:val="en-US"/>
        </w:rPr>
        <w:t xml:space="preserve"> at</w:t>
      </w:r>
      <w:r w:rsidR="006A0D40">
        <w:rPr>
          <w:b/>
          <w:color w:val="7030A0"/>
          <w:sz w:val="24"/>
          <w:szCs w:val="24"/>
          <w:lang w:val="en-US"/>
        </w:rPr>
        <w:t xml:space="preserve"> 12pm</w:t>
      </w:r>
      <w:r w:rsidR="006063D8">
        <w:rPr>
          <w:b/>
          <w:color w:val="7030A0"/>
          <w:sz w:val="24"/>
          <w:szCs w:val="24"/>
          <w:lang w:val="en-US"/>
        </w:rPr>
        <w:t xml:space="preserve"> </w:t>
      </w:r>
    </w:p>
    <w:p w:rsidR="00737065" w:rsidRPr="00984054" w:rsidRDefault="00B965D3" w:rsidP="00737065">
      <w:pPr>
        <w:pStyle w:val="BodyText"/>
        <w:spacing w:after="0" w:line="240" w:lineRule="auto"/>
        <w:rPr>
          <w:b/>
          <w:color w:val="1F497D" w:themeColor="text2"/>
          <w:lang w:val="en-US"/>
        </w:rPr>
      </w:pPr>
      <w:r w:rsidRPr="00917E47">
        <w:rPr>
          <w:b/>
          <w:color w:val="C00000"/>
          <w:sz w:val="24"/>
          <w:szCs w:val="24"/>
          <w:lang w:val="en-US"/>
        </w:rPr>
        <w:t xml:space="preserve">Ann Wollner </w:t>
      </w:r>
    </w:p>
    <w:p w:rsidR="00B965D3" w:rsidRPr="00917E47" w:rsidRDefault="00B965D3" w:rsidP="00B965D3">
      <w:pPr>
        <w:pStyle w:val="BodyText"/>
        <w:rPr>
          <w:b/>
          <w:color w:val="1F497D" w:themeColor="text2"/>
          <w:sz w:val="24"/>
          <w:szCs w:val="24"/>
          <w:lang w:val="en-US"/>
        </w:rPr>
      </w:pPr>
      <w:r w:rsidRPr="00917E47">
        <w:rPr>
          <w:b/>
          <w:color w:val="1F497D" w:themeColor="text2"/>
          <w:sz w:val="24"/>
          <w:szCs w:val="24"/>
          <w:lang w:val="en-US"/>
        </w:rPr>
        <w:t>International Parental Children Abduction-Legal/ Social Work/ Mediation- Towards a holistic approach</w:t>
      </w:r>
      <w:r>
        <w:rPr>
          <w:b/>
          <w:color w:val="1F497D" w:themeColor="text2"/>
          <w:sz w:val="24"/>
          <w:szCs w:val="24"/>
          <w:lang w:val="en-US"/>
        </w:rPr>
        <w:t xml:space="preserve"> </w:t>
      </w:r>
      <w:r w:rsidRPr="00917E47">
        <w:rPr>
          <w:b/>
          <w:color w:val="1F497D" w:themeColor="text2"/>
          <w:sz w:val="24"/>
          <w:szCs w:val="24"/>
          <w:lang w:val="en-US"/>
        </w:rPr>
        <w:t>- About time!</w:t>
      </w:r>
    </w:p>
    <w:p w:rsidR="00B965D3" w:rsidRPr="00223625" w:rsidRDefault="00B965D3" w:rsidP="00B965D3">
      <w:pPr>
        <w:spacing w:after="0" w:line="240" w:lineRule="auto"/>
        <w:rPr>
          <w:rFonts w:ascii="Calibri" w:eastAsia="Calibri" w:hAnsi="Calibri" w:cs="Calibri"/>
          <w:color w:val="000000"/>
        </w:rPr>
      </w:pPr>
      <w:r w:rsidRPr="00E33432">
        <w:rPr>
          <w:color w:val="1F497D" w:themeColor="text2"/>
          <w:lang w:val="en-US"/>
        </w:rPr>
        <w:t xml:space="preserve">The world is becoming a smaller and smaller place. Voluntarily or involuntarily, families scatter and lives are disrupted. More and more children's lives are challenged by parental abduction. The United Nations and many of its member countries have recognised the need to protect and defend vulnerable children. The Hague Convention on the Civil Aspects of International Child Abduction (the Hague Convention) came into force in 1983 to facilitate this protection. However, the outcomes of the Hague Convention with its strictly legal focus are limited. Rather what is needed is an international </w:t>
      </w:r>
      <w:proofErr w:type="spellStart"/>
      <w:r w:rsidRPr="00E33432">
        <w:rPr>
          <w:color w:val="1F497D" w:themeColor="text2"/>
          <w:lang w:val="en-US"/>
        </w:rPr>
        <w:t>organisation</w:t>
      </w:r>
      <w:proofErr w:type="spellEnd"/>
      <w:r w:rsidRPr="00E33432">
        <w:rPr>
          <w:color w:val="1F497D" w:themeColor="text2"/>
          <w:lang w:val="en-US"/>
        </w:rPr>
        <w:t xml:space="preserve"> with members worldwide which can offer a raft of services, legal, social and psychological. The International Social Service (ISS) was established in 1924 after World War 1 in response to the migration of displaced persons. Unfortunately the need to protect children and support families has only increased since then. ISS has grown into an </w:t>
      </w:r>
      <w:proofErr w:type="spellStart"/>
      <w:r w:rsidRPr="00E33432">
        <w:rPr>
          <w:color w:val="1F497D" w:themeColor="text2"/>
          <w:lang w:val="en-US"/>
        </w:rPr>
        <w:t>organisation</w:t>
      </w:r>
      <w:proofErr w:type="spellEnd"/>
      <w:r w:rsidRPr="00E33432">
        <w:rPr>
          <w:color w:val="1F497D" w:themeColor="text2"/>
          <w:lang w:val="en-US"/>
        </w:rPr>
        <w:t xml:space="preserve"> with over a 100 offices worldwide. ISS Australia understands that assistance is required at different levels. It has expanded its services to meet the various needs. The presentation will explain the ISS global </w:t>
      </w:r>
      <w:proofErr w:type="spellStart"/>
      <w:r w:rsidRPr="00E33432">
        <w:rPr>
          <w:color w:val="1F497D" w:themeColor="text2"/>
          <w:lang w:val="en-US"/>
        </w:rPr>
        <w:t>organisation</w:t>
      </w:r>
      <w:proofErr w:type="spellEnd"/>
      <w:r w:rsidRPr="00E33432">
        <w:rPr>
          <w:color w:val="1F497D" w:themeColor="text2"/>
          <w:lang w:val="en-US"/>
        </w:rPr>
        <w:t>; ISS Australia's set of services (social work; legal and family mediation); an overview of the relevant law regarding Hague Convention abduction cases and the obstacles (both legal and otherwise) to satisfactory outcomes.</w:t>
      </w:r>
      <w:r w:rsidRPr="00A40BEF">
        <w:rPr>
          <w:rFonts w:eastAsiaTheme="minorEastAsia" w:cstheme="minorHAnsi"/>
          <w:color w:val="1F497D" w:themeColor="text2"/>
          <w:u w:color="000000"/>
        </w:rPr>
        <w:t xml:space="preserve"> </w:t>
      </w:r>
    </w:p>
    <w:p w:rsidR="00737065" w:rsidRPr="00984054" w:rsidRDefault="00B965D3" w:rsidP="00737065">
      <w:pPr>
        <w:pStyle w:val="BodyText"/>
        <w:spacing w:after="0" w:line="240" w:lineRule="auto"/>
        <w:rPr>
          <w:b/>
          <w:color w:val="1F497D" w:themeColor="text2"/>
          <w:lang w:val="en-US"/>
        </w:rPr>
      </w:pPr>
      <w:r w:rsidRPr="00350097">
        <w:rPr>
          <w:b/>
          <w:color w:val="1F497D" w:themeColor="text2"/>
          <w:lang w:val="en-US"/>
        </w:rPr>
        <w:t>Biography</w:t>
      </w:r>
    </w:p>
    <w:p w:rsidR="00B965D3" w:rsidRPr="00737065" w:rsidRDefault="00B965D3" w:rsidP="00B965D3">
      <w:pPr>
        <w:spacing w:after="0" w:line="240" w:lineRule="auto"/>
        <w:rPr>
          <w:rFonts w:ascii="Calibri" w:eastAsia="Calibri" w:hAnsi="Calibri" w:cs="Calibri"/>
          <w:color w:val="000000"/>
          <w:sz w:val="20"/>
          <w:szCs w:val="20"/>
        </w:rPr>
      </w:pPr>
      <w:r w:rsidRPr="00737065">
        <w:rPr>
          <w:color w:val="1F497D" w:themeColor="text2"/>
          <w:sz w:val="20"/>
          <w:szCs w:val="20"/>
          <w:lang w:val="en-US"/>
        </w:rPr>
        <w:t>Dr Ann Wollner is the manager of the legal team at ISS Australia. She has a Doctorate in child clinical psychology from Melbourne University and a Masters of Comparative Law from George Washington University, Washington DC.  She is experienced in family, commercial and property law, with a particular interest in international children’s matters and family violence. She is a trained collaborative lawyer and mediator and was appointed to establish the legal department in the National Office of ISS Australia.</w:t>
      </w:r>
      <w:r w:rsidRPr="00737065">
        <w:rPr>
          <w:rFonts w:eastAsiaTheme="minorEastAsia" w:cstheme="minorHAnsi"/>
          <w:color w:val="1F497D" w:themeColor="text2"/>
          <w:sz w:val="20"/>
          <w:szCs w:val="20"/>
          <w:u w:color="000000"/>
        </w:rPr>
        <w:t xml:space="preserve"> </w:t>
      </w:r>
    </w:p>
    <w:p w:rsidR="00B965D3" w:rsidRPr="00737065" w:rsidRDefault="00B965D3" w:rsidP="00B965D3">
      <w:pPr>
        <w:spacing w:after="0" w:line="240" w:lineRule="auto"/>
        <w:rPr>
          <w:rFonts w:eastAsiaTheme="minorEastAsia" w:cstheme="minorHAnsi"/>
          <w:color w:val="1F497D" w:themeColor="text2"/>
          <w:sz w:val="20"/>
          <w:szCs w:val="20"/>
          <w:u w:color="000000"/>
        </w:rPr>
      </w:pPr>
      <w:r w:rsidRPr="00737065">
        <w:rPr>
          <w:color w:val="1F497D" w:themeColor="text2"/>
          <w:sz w:val="20"/>
          <w:szCs w:val="20"/>
          <w:lang w:val="en-US"/>
        </w:rPr>
        <w:t xml:space="preserve">Ann has lectured at the University of Melbourne in law and has </w:t>
      </w:r>
      <w:proofErr w:type="spellStart"/>
      <w:r w:rsidRPr="00737065">
        <w:rPr>
          <w:color w:val="1F497D" w:themeColor="text2"/>
          <w:sz w:val="20"/>
          <w:szCs w:val="20"/>
          <w:lang w:val="en-US"/>
        </w:rPr>
        <w:t>practised</w:t>
      </w:r>
      <w:proofErr w:type="spellEnd"/>
      <w:r w:rsidRPr="00737065">
        <w:rPr>
          <w:color w:val="1F497D" w:themeColor="text2"/>
          <w:sz w:val="20"/>
          <w:szCs w:val="20"/>
          <w:lang w:val="en-US"/>
        </w:rPr>
        <w:t xml:space="preserve"> psychology in the private and public sectors. She has worked in a number of government Child &amp; Adolescent Mental Health Services, and at the Centre for Adolescent Health in the Royal Children’s Hospital.  Ann has published articles and given presentations relating to family violence and child abuse.</w:t>
      </w:r>
      <w:r w:rsidRPr="00737065">
        <w:rPr>
          <w:rFonts w:eastAsiaTheme="minorEastAsia" w:cstheme="minorHAnsi"/>
          <w:color w:val="1F497D" w:themeColor="text2"/>
          <w:sz w:val="20"/>
          <w:szCs w:val="20"/>
          <w:u w:color="000000"/>
        </w:rPr>
        <w:t xml:space="preserve"> </w:t>
      </w:r>
    </w:p>
    <w:p w:rsidR="00D01F18" w:rsidRPr="00223625" w:rsidRDefault="00D01F18" w:rsidP="00B965D3">
      <w:pPr>
        <w:spacing w:after="0" w:line="240" w:lineRule="auto"/>
        <w:rPr>
          <w:rFonts w:ascii="Calibri" w:eastAsia="Calibri" w:hAnsi="Calibri" w:cs="Calibri"/>
          <w:color w:val="000000"/>
        </w:rPr>
      </w:pPr>
    </w:p>
    <w:p w:rsidR="00EC65A7" w:rsidRPr="00984054" w:rsidRDefault="00B965D3" w:rsidP="00EC65A7">
      <w:pPr>
        <w:pStyle w:val="BodyText"/>
        <w:spacing w:after="0" w:line="240" w:lineRule="auto"/>
        <w:rPr>
          <w:b/>
          <w:color w:val="1F497D" w:themeColor="text2"/>
          <w:lang w:val="en-US"/>
        </w:rPr>
      </w:pPr>
      <w:r w:rsidRPr="009B1999">
        <w:rPr>
          <w:b/>
          <w:color w:val="7030A0"/>
          <w:sz w:val="24"/>
          <w:szCs w:val="24"/>
          <w:lang w:val="en-US"/>
        </w:rPr>
        <w:t xml:space="preserve">FRIDAY, </w:t>
      </w:r>
      <w:r>
        <w:rPr>
          <w:b/>
          <w:color w:val="7030A0"/>
          <w:sz w:val="24"/>
          <w:szCs w:val="24"/>
          <w:lang w:val="en-US"/>
        </w:rPr>
        <w:t>28 MARCH</w:t>
      </w:r>
      <w:r w:rsidRPr="009B1999">
        <w:rPr>
          <w:b/>
          <w:color w:val="7030A0"/>
          <w:sz w:val="24"/>
          <w:szCs w:val="24"/>
          <w:lang w:val="en-US"/>
        </w:rPr>
        <w:t xml:space="preserve"> 2014</w:t>
      </w:r>
    </w:p>
    <w:p w:rsidR="00EC65A7" w:rsidRPr="00984054" w:rsidRDefault="00B965D3" w:rsidP="00EC65A7">
      <w:pPr>
        <w:pStyle w:val="BodyText"/>
        <w:spacing w:after="0" w:line="240" w:lineRule="auto"/>
        <w:rPr>
          <w:b/>
          <w:color w:val="1F497D" w:themeColor="text2"/>
          <w:lang w:val="en-US"/>
        </w:rPr>
      </w:pPr>
      <w:r w:rsidRPr="00BF0958">
        <w:rPr>
          <w:b/>
          <w:color w:val="C00000"/>
          <w:sz w:val="24"/>
          <w:szCs w:val="24"/>
          <w:lang w:val="en-US"/>
        </w:rPr>
        <w:t>Louis de Koker</w:t>
      </w:r>
    </w:p>
    <w:p w:rsidR="00EC65A7" w:rsidRPr="00A916AB" w:rsidRDefault="00B965D3" w:rsidP="00EC65A7">
      <w:pPr>
        <w:pStyle w:val="BodyText"/>
        <w:rPr>
          <w:b/>
          <w:color w:val="7030A0"/>
          <w:lang w:val="en-US"/>
        </w:rPr>
      </w:pPr>
      <w:r w:rsidRPr="00BF0958">
        <w:rPr>
          <w:color w:val="002060"/>
          <w:sz w:val="24"/>
          <w:szCs w:val="24"/>
          <w:lang w:val="en-US"/>
        </w:rPr>
        <w:t>Google Scholar profile</w:t>
      </w:r>
    </w:p>
    <w:p w:rsidR="00EC65A7" w:rsidRPr="00984054" w:rsidRDefault="00B965D3" w:rsidP="00EC65A7">
      <w:pPr>
        <w:pStyle w:val="BodyText"/>
        <w:spacing w:after="0" w:line="240" w:lineRule="auto"/>
        <w:rPr>
          <w:b/>
          <w:color w:val="1F497D" w:themeColor="text2"/>
          <w:lang w:val="en-US"/>
        </w:rPr>
      </w:pPr>
      <w:r w:rsidRPr="009B1999">
        <w:rPr>
          <w:b/>
          <w:color w:val="7030A0"/>
          <w:sz w:val="24"/>
          <w:szCs w:val="24"/>
          <w:lang w:val="en-US"/>
        </w:rPr>
        <w:t>FRIDAY, 11 APRIL 2014</w:t>
      </w:r>
    </w:p>
    <w:p w:rsidR="00EC65A7" w:rsidRPr="00984054" w:rsidRDefault="00B965D3" w:rsidP="00EC65A7">
      <w:pPr>
        <w:pStyle w:val="BodyText"/>
        <w:spacing w:after="0" w:line="240" w:lineRule="auto"/>
        <w:rPr>
          <w:b/>
          <w:color w:val="1F497D" w:themeColor="text2"/>
          <w:lang w:val="en-US"/>
        </w:rPr>
      </w:pPr>
      <w:r w:rsidRPr="009B1999">
        <w:rPr>
          <w:rFonts w:cstheme="minorHAnsi"/>
          <w:b/>
          <w:color w:val="C00000"/>
          <w:sz w:val="24"/>
          <w:szCs w:val="24"/>
          <w:lang w:val="en-US"/>
        </w:rPr>
        <w:t xml:space="preserve">Pieter </w:t>
      </w:r>
      <w:r w:rsidRPr="009B1999">
        <w:rPr>
          <w:rFonts w:eastAsia="Times New Roman" w:cstheme="minorHAnsi"/>
          <w:b/>
          <w:color w:val="C00000"/>
          <w:sz w:val="24"/>
          <w:szCs w:val="24"/>
          <w:lang w:val="en-US" w:eastAsia="en-AU"/>
        </w:rPr>
        <w:t>Badenhorst</w:t>
      </w:r>
    </w:p>
    <w:p w:rsidR="00EC65A7" w:rsidRPr="00EC65A7" w:rsidRDefault="00B965D3" w:rsidP="00EC65A7">
      <w:pPr>
        <w:pStyle w:val="BodyText"/>
        <w:rPr>
          <w:color w:val="7030A0"/>
          <w:lang w:val="en-US"/>
        </w:rPr>
      </w:pPr>
      <w:r w:rsidRPr="00EC65A7">
        <w:rPr>
          <w:color w:val="1F497D" w:themeColor="text2"/>
          <w:sz w:val="24"/>
          <w:szCs w:val="24"/>
          <w:lang w:val="en-US"/>
        </w:rPr>
        <w:lastRenderedPageBreak/>
        <w:t xml:space="preserve">“A Tale of two Expropriations: </w:t>
      </w:r>
      <w:proofErr w:type="spellStart"/>
      <w:r w:rsidRPr="00EC65A7">
        <w:rPr>
          <w:color w:val="1F497D" w:themeColor="text2"/>
          <w:sz w:val="24"/>
          <w:szCs w:val="24"/>
          <w:lang w:val="en-US"/>
        </w:rPr>
        <w:t>Newcrestia</w:t>
      </w:r>
      <w:proofErr w:type="spellEnd"/>
      <w:r w:rsidRPr="00EC65A7">
        <w:rPr>
          <w:color w:val="1F497D" w:themeColor="text2"/>
          <w:sz w:val="24"/>
          <w:szCs w:val="24"/>
          <w:lang w:val="en-US"/>
        </w:rPr>
        <w:t xml:space="preserve"> and </w:t>
      </w:r>
      <w:proofErr w:type="spellStart"/>
      <w:r w:rsidRPr="00EC65A7">
        <w:rPr>
          <w:color w:val="1F497D" w:themeColor="text2"/>
          <w:sz w:val="24"/>
          <w:szCs w:val="24"/>
          <w:lang w:val="en-US"/>
        </w:rPr>
        <w:t>Agrizania</w:t>
      </w:r>
      <w:proofErr w:type="spellEnd"/>
      <w:r w:rsidRPr="00EC65A7">
        <w:rPr>
          <w:color w:val="1F497D" w:themeColor="text2"/>
          <w:sz w:val="24"/>
          <w:szCs w:val="24"/>
          <w:lang w:val="en-US"/>
        </w:rPr>
        <w:t>”</w:t>
      </w:r>
      <w:r w:rsidR="00EC65A7" w:rsidRPr="00EC65A7">
        <w:rPr>
          <w:color w:val="7030A0"/>
          <w:lang w:val="en-US"/>
        </w:rPr>
        <w:t xml:space="preserve"> </w:t>
      </w:r>
    </w:p>
    <w:p w:rsidR="00EC65A7" w:rsidRPr="00984054" w:rsidRDefault="00B965D3" w:rsidP="00EC65A7">
      <w:pPr>
        <w:pStyle w:val="BodyText"/>
        <w:spacing w:after="0" w:line="240" w:lineRule="auto"/>
        <w:rPr>
          <w:b/>
          <w:color w:val="1F497D" w:themeColor="text2"/>
          <w:lang w:val="en-US"/>
        </w:rPr>
      </w:pPr>
      <w:r w:rsidRPr="00A916AB">
        <w:rPr>
          <w:b/>
          <w:color w:val="7030A0"/>
          <w:lang w:val="en-US"/>
        </w:rPr>
        <w:t>FRIDAY, 2 MAY 2014</w:t>
      </w:r>
    </w:p>
    <w:p w:rsidR="00EC65A7" w:rsidRPr="00984054" w:rsidRDefault="00B965D3" w:rsidP="00EC65A7">
      <w:pPr>
        <w:pStyle w:val="BodyText"/>
        <w:spacing w:after="0" w:line="240" w:lineRule="auto"/>
        <w:rPr>
          <w:b/>
          <w:color w:val="1F497D" w:themeColor="text2"/>
          <w:lang w:val="en-US"/>
        </w:rPr>
      </w:pPr>
      <w:r w:rsidRPr="00366CEA">
        <w:rPr>
          <w:b/>
          <w:color w:val="C00000"/>
          <w:lang w:val="en-US"/>
        </w:rPr>
        <w:t xml:space="preserve">T. Leigh </w:t>
      </w:r>
      <w:proofErr w:type="spellStart"/>
      <w:r w:rsidRPr="00366CEA">
        <w:rPr>
          <w:b/>
          <w:color w:val="C00000"/>
          <w:lang w:val="en-US"/>
        </w:rPr>
        <w:t>Anenson</w:t>
      </w:r>
      <w:proofErr w:type="spellEnd"/>
      <w:r w:rsidRPr="00366CEA">
        <w:rPr>
          <w:b/>
          <w:color w:val="C00000"/>
          <w:lang w:val="en-US"/>
        </w:rPr>
        <w:t>, J.D., LL.M.</w:t>
      </w:r>
      <w:r w:rsidRPr="00F61D55">
        <w:rPr>
          <w:color w:val="1F497D" w:themeColor="text2"/>
          <w:lang w:val="en-US"/>
        </w:rPr>
        <w:t xml:space="preserve"> </w:t>
      </w:r>
    </w:p>
    <w:p w:rsidR="00FD5075" w:rsidRPr="00984054" w:rsidRDefault="00B965D3" w:rsidP="00FD5075">
      <w:pPr>
        <w:pStyle w:val="BodyText"/>
        <w:spacing w:after="0" w:line="240" w:lineRule="auto"/>
        <w:rPr>
          <w:b/>
          <w:color w:val="1F497D" w:themeColor="text2"/>
          <w:lang w:val="en-US"/>
        </w:rPr>
      </w:pPr>
      <w:r w:rsidRPr="00A916AB">
        <w:rPr>
          <w:color w:val="1F497D" w:themeColor="text2"/>
          <w:lang w:val="en-US"/>
        </w:rPr>
        <w:t>Associate Professor of Business Law</w:t>
      </w:r>
      <w:r>
        <w:rPr>
          <w:color w:val="1F497D" w:themeColor="text2"/>
          <w:lang w:val="en-US"/>
        </w:rPr>
        <w:t xml:space="preserve">, </w:t>
      </w:r>
      <w:r w:rsidRPr="00A916AB">
        <w:rPr>
          <w:color w:val="1F497D" w:themeColor="text2"/>
          <w:lang w:val="en-US"/>
        </w:rPr>
        <w:t>Department of Logistics, Business and Public Policy</w:t>
      </w:r>
    </w:p>
    <w:p w:rsidR="00FD5075" w:rsidRPr="00984054" w:rsidRDefault="00B965D3" w:rsidP="00FD5075">
      <w:pPr>
        <w:pStyle w:val="BodyText"/>
        <w:spacing w:after="0" w:line="240" w:lineRule="auto"/>
        <w:rPr>
          <w:b/>
          <w:color w:val="1F497D" w:themeColor="text2"/>
          <w:lang w:val="en-US"/>
        </w:rPr>
      </w:pPr>
      <w:r w:rsidRPr="00A916AB">
        <w:rPr>
          <w:color w:val="1F497D" w:themeColor="text2"/>
          <w:lang w:val="en-US"/>
        </w:rPr>
        <w:t>Robert H. Smith School of Business</w:t>
      </w:r>
      <w:r>
        <w:rPr>
          <w:color w:val="1F497D" w:themeColor="text2"/>
          <w:lang w:val="en-US"/>
        </w:rPr>
        <w:t xml:space="preserve">, </w:t>
      </w:r>
      <w:r w:rsidRPr="00A916AB">
        <w:rPr>
          <w:color w:val="1F497D" w:themeColor="text2"/>
          <w:lang w:val="en-US"/>
        </w:rPr>
        <w:t>University of Maryland</w:t>
      </w:r>
    </w:p>
    <w:p w:rsidR="00B965D3" w:rsidRDefault="00B965D3" w:rsidP="00B965D3">
      <w:pPr>
        <w:keepLines/>
        <w:spacing w:before="40" w:after="120" w:line="280" w:lineRule="atLeast"/>
        <w:ind w:left="414" w:firstLine="720"/>
        <w:jc w:val="center"/>
        <w:rPr>
          <w:rFonts w:eastAsiaTheme="minorEastAsia" w:cstheme="minorHAnsi"/>
          <w:b/>
          <w:color w:val="C00000"/>
          <w:sz w:val="28"/>
          <w:szCs w:val="28"/>
          <w:u w:color="000000"/>
          <w:lang w:val="en-US"/>
        </w:rPr>
      </w:pPr>
    </w:p>
    <w:p w:rsidR="00B965D3" w:rsidRDefault="00B965D3" w:rsidP="00B965D3">
      <w:pPr>
        <w:keepLines/>
        <w:spacing w:before="40" w:after="120" w:line="280" w:lineRule="atLeast"/>
        <w:ind w:left="414" w:firstLine="720"/>
        <w:jc w:val="center"/>
        <w:rPr>
          <w:rFonts w:eastAsiaTheme="minorEastAsia" w:cstheme="minorHAnsi"/>
          <w:b/>
          <w:color w:val="C00000"/>
          <w:sz w:val="28"/>
          <w:szCs w:val="28"/>
          <w:u w:color="000000"/>
          <w:lang w:val="en-US"/>
        </w:rPr>
      </w:pPr>
      <w:r>
        <w:rPr>
          <w:rFonts w:eastAsiaTheme="minorEastAsia" w:cstheme="minorHAnsi"/>
          <w:b/>
          <w:color w:val="C00000"/>
          <w:sz w:val="28"/>
          <w:szCs w:val="28"/>
          <w:u w:color="000000"/>
          <w:lang w:val="en-US"/>
        </w:rPr>
        <w:t>TORTS, JURISPRUDENCE, ECONOMICS, ETC RESEARCH HUB</w:t>
      </w:r>
    </w:p>
    <w:p w:rsidR="00B965D3" w:rsidRPr="00366CEA" w:rsidRDefault="00B965D3" w:rsidP="00B965D3">
      <w:pPr>
        <w:pStyle w:val="BodyText"/>
        <w:rPr>
          <w:b/>
          <w:color w:val="7030A0"/>
          <w:sz w:val="24"/>
          <w:szCs w:val="24"/>
          <w:lang w:val="en-US"/>
        </w:rPr>
      </w:pPr>
      <w:r>
        <w:rPr>
          <w:b/>
          <w:color w:val="7030A0"/>
          <w:sz w:val="24"/>
          <w:szCs w:val="24"/>
          <w:lang w:val="en-US"/>
        </w:rPr>
        <w:t xml:space="preserve">                                        </w:t>
      </w:r>
      <w:r w:rsidRPr="00366CEA">
        <w:rPr>
          <w:b/>
          <w:color w:val="7030A0"/>
          <w:sz w:val="24"/>
          <w:szCs w:val="24"/>
          <w:lang w:val="en-US"/>
        </w:rPr>
        <w:t>Meetings are held on the first Wednesday of each month at 5pm</w:t>
      </w:r>
    </w:p>
    <w:p w:rsidR="00B965D3" w:rsidRPr="00984054" w:rsidRDefault="00B965D3" w:rsidP="00B965D3">
      <w:pPr>
        <w:pStyle w:val="BodyText"/>
        <w:spacing w:after="0" w:line="240" w:lineRule="auto"/>
        <w:rPr>
          <w:b/>
          <w:color w:val="1F497D" w:themeColor="text2"/>
          <w:lang w:val="en-US"/>
        </w:rPr>
      </w:pPr>
      <w:r w:rsidRPr="00984054">
        <w:rPr>
          <w:b/>
          <w:color w:val="1F497D" w:themeColor="text2"/>
          <w:lang w:val="en-US"/>
        </w:rPr>
        <w:t>Venues:</w:t>
      </w:r>
      <w:r>
        <w:rPr>
          <w:b/>
          <w:color w:val="1F497D" w:themeColor="text2"/>
          <w:lang w:val="en-US"/>
        </w:rPr>
        <w:t xml:space="preserve"> </w:t>
      </w:r>
    </w:p>
    <w:p w:rsidR="00B965D3" w:rsidRPr="00984054" w:rsidRDefault="00B965D3" w:rsidP="00B965D3">
      <w:pPr>
        <w:pStyle w:val="BodyText"/>
        <w:spacing w:after="0" w:line="240" w:lineRule="auto"/>
        <w:rPr>
          <w:b/>
          <w:color w:val="1F497D" w:themeColor="text2"/>
          <w:lang w:val="en-US"/>
        </w:rPr>
      </w:pPr>
      <w:r w:rsidRPr="00984054">
        <w:rPr>
          <w:color w:val="1F497D" w:themeColor="text2"/>
          <w:lang w:val="en-US"/>
        </w:rPr>
        <w:t>Melbourne:             Boardroom, Level 3, Deakin City Center, 550 Bourke Street</w:t>
      </w:r>
    </w:p>
    <w:p w:rsidR="00B965D3" w:rsidRPr="00984054" w:rsidRDefault="00B965D3" w:rsidP="00B965D3">
      <w:pPr>
        <w:pStyle w:val="BodyText"/>
        <w:spacing w:after="0" w:line="240" w:lineRule="auto"/>
        <w:rPr>
          <w:color w:val="1F497D" w:themeColor="text2"/>
          <w:lang w:val="en-US"/>
        </w:rPr>
      </w:pPr>
      <w:r w:rsidRPr="00984054">
        <w:rPr>
          <w:color w:val="1F497D" w:themeColor="text2"/>
          <w:lang w:val="en-US"/>
        </w:rPr>
        <w:t>The Waterfront</w:t>
      </w:r>
      <w:proofErr w:type="gramStart"/>
      <w:r w:rsidRPr="00984054">
        <w:rPr>
          <w:color w:val="1F497D" w:themeColor="text2"/>
          <w:lang w:val="en-US"/>
        </w:rPr>
        <w:t>:   F</w:t>
      </w:r>
      <w:proofErr w:type="gramEnd"/>
      <w:r w:rsidRPr="00984054">
        <w:rPr>
          <w:color w:val="1F497D" w:themeColor="text2"/>
          <w:lang w:val="en-US"/>
        </w:rPr>
        <w:t xml:space="preserve"> BL Mtg Room AD Level 2 ad2.308  (all Deakin Staff)  </w:t>
      </w:r>
    </w:p>
    <w:p w:rsidR="00B965D3" w:rsidRPr="00984054" w:rsidRDefault="00B965D3" w:rsidP="00B965D3">
      <w:pPr>
        <w:pStyle w:val="BodyText"/>
        <w:spacing w:after="0" w:line="240" w:lineRule="auto"/>
        <w:rPr>
          <w:color w:val="1F497D" w:themeColor="text2"/>
          <w:lang w:val="en-US"/>
        </w:rPr>
      </w:pPr>
      <w:r w:rsidRPr="00984054">
        <w:rPr>
          <w:color w:val="1F497D" w:themeColor="text2"/>
          <w:lang w:val="en-US"/>
        </w:rPr>
        <w:t>Burwood:                Moot Court:  C 4.05</w:t>
      </w:r>
    </w:p>
    <w:p w:rsidR="00B965D3" w:rsidRPr="00984054" w:rsidRDefault="00B965D3" w:rsidP="00B965D3">
      <w:pPr>
        <w:pStyle w:val="BodyText"/>
        <w:spacing w:after="0" w:line="240" w:lineRule="auto"/>
        <w:rPr>
          <w:color w:val="1F497D" w:themeColor="text2"/>
          <w:lang w:val="en-US"/>
        </w:rPr>
      </w:pPr>
      <w:r w:rsidRPr="00984054">
        <w:rPr>
          <w:color w:val="1F497D" w:themeColor="text2"/>
          <w:lang w:val="en-US"/>
        </w:rPr>
        <w:t xml:space="preserve">The VPN telephone number, to which </w:t>
      </w:r>
      <w:r w:rsidRPr="00366CEA">
        <w:rPr>
          <w:i/>
          <w:color w:val="1F497D" w:themeColor="text2"/>
          <w:lang w:val="en-US"/>
        </w:rPr>
        <w:t>all</w:t>
      </w:r>
      <w:r w:rsidRPr="00984054">
        <w:rPr>
          <w:color w:val="1F497D" w:themeColor="text2"/>
          <w:lang w:val="en-US"/>
        </w:rPr>
        <w:t xml:space="preserve"> parties must, dial is: </w:t>
      </w:r>
      <w:r w:rsidRPr="00366CEA">
        <w:rPr>
          <w:b/>
          <w:color w:val="1F497D" w:themeColor="text2"/>
          <w:lang w:val="en-US"/>
        </w:rPr>
        <w:t>5223 6933</w:t>
      </w:r>
    </w:p>
    <w:p w:rsidR="00B965D3" w:rsidRDefault="00B965D3" w:rsidP="00B965D3">
      <w:pPr>
        <w:pStyle w:val="BodyText"/>
        <w:rPr>
          <w:b/>
          <w:color w:val="1F497D" w:themeColor="text2"/>
          <w:lang w:val="en-US"/>
        </w:rPr>
      </w:pPr>
    </w:p>
    <w:p w:rsidR="00B965D3" w:rsidRPr="002D6F29" w:rsidRDefault="00B965D3" w:rsidP="00B965D3">
      <w:pPr>
        <w:pStyle w:val="BodyText"/>
        <w:jc w:val="center"/>
        <w:rPr>
          <w:b/>
          <w:color w:val="002060"/>
          <w:sz w:val="24"/>
          <w:szCs w:val="24"/>
          <w:lang w:val="en-US"/>
        </w:rPr>
      </w:pPr>
      <w:r w:rsidRPr="002D6F29">
        <w:rPr>
          <w:b/>
          <w:color w:val="002060"/>
          <w:sz w:val="24"/>
          <w:szCs w:val="24"/>
          <w:lang w:val="en-US"/>
        </w:rPr>
        <w:t xml:space="preserve">SCHEDULE OF FORTHCOMING </w:t>
      </w:r>
      <w:r w:rsidR="002D6F29" w:rsidRPr="002D6F29">
        <w:rPr>
          <w:b/>
          <w:color w:val="002060"/>
          <w:sz w:val="24"/>
          <w:szCs w:val="24"/>
          <w:lang w:val="en-US"/>
        </w:rPr>
        <w:t>SEMINARS</w:t>
      </w:r>
    </w:p>
    <w:p w:rsidR="00EC65A7" w:rsidRPr="00350097" w:rsidRDefault="00B965D3" w:rsidP="00EC65A7">
      <w:pPr>
        <w:spacing w:after="0" w:line="240" w:lineRule="auto"/>
        <w:rPr>
          <w:rFonts w:ascii="Calibri" w:eastAsia="Calibri" w:hAnsi="Calibri" w:cs="Calibri"/>
          <w:color w:val="000000"/>
        </w:rPr>
      </w:pPr>
      <w:r w:rsidRPr="00031B97">
        <w:rPr>
          <w:b/>
          <w:color w:val="7030A0"/>
          <w:sz w:val="24"/>
          <w:szCs w:val="24"/>
          <w:lang w:val="en-US"/>
        </w:rPr>
        <w:t xml:space="preserve">WEDNESDAY, 5 MARCH 2014 </w:t>
      </w:r>
    </w:p>
    <w:p w:rsidR="00EC65A7" w:rsidRPr="00EC65A7" w:rsidRDefault="00B965D3" w:rsidP="00EC65A7">
      <w:pPr>
        <w:spacing w:after="0" w:line="240" w:lineRule="auto"/>
        <w:rPr>
          <w:rFonts w:ascii="Calibri" w:eastAsia="Calibri" w:hAnsi="Calibri" w:cs="Calibri"/>
          <w:color w:val="000000"/>
        </w:rPr>
      </w:pPr>
      <w:r w:rsidRPr="00EC65A7">
        <w:rPr>
          <w:color w:val="C00000"/>
          <w:sz w:val="24"/>
          <w:szCs w:val="24"/>
          <w:lang w:val="en-US"/>
        </w:rPr>
        <w:t>Danuta Mendelson</w:t>
      </w:r>
      <w:r w:rsidR="002D6F29" w:rsidRPr="00EC65A7">
        <w:rPr>
          <w:color w:val="C00000"/>
          <w:sz w:val="24"/>
          <w:szCs w:val="24"/>
          <w:lang w:val="en-US"/>
        </w:rPr>
        <w:t xml:space="preserve"> &amp; Dr Ian Haywood, Consultant Child Psychiatrist</w:t>
      </w:r>
    </w:p>
    <w:p w:rsidR="00EC65A7" w:rsidRPr="00350097" w:rsidRDefault="00B965D3" w:rsidP="00EC65A7">
      <w:pPr>
        <w:spacing w:after="0" w:line="240" w:lineRule="auto"/>
        <w:rPr>
          <w:rFonts w:ascii="Calibri" w:eastAsia="Calibri" w:hAnsi="Calibri" w:cs="Calibri"/>
          <w:color w:val="000000"/>
        </w:rPr>
      </w:pPr>
      <w:r w:rsidRPr="00031B97">
        <w:rPr>
          <w:color w:val="1F497D" w:themeColor="text2"/>
          <w:sz w:val="24"/>
          <w:szCs w:val="24"/>
          <w:lang w:val="en-US"/>
        </w:rPr>
        <w:t xml:space="preserve">More on </w:t>
      </w:r>
      <w:r w:rsidR="002D6F29">
        <w:rPr>
          <w:color w:val="1F497D" w:themeColor="text2"/>
          <w:sz w:val="24"/>
          <w:szCs w:val="24"/>
          <w:lang w:val="en-US"/>
        </w:rPr>
        <w:t xml:space="preserve">development </w:t>
      </w:r>
      <w:r w:rsidRPr="00031B97">
        <w:rPr>
          <w:color w:val="1F497D" w:themeColor="text2"/>
          <w:sz w:val="24"/>
          <w:szCs w:val="24"/>
          <w:lang w:val="en-US"/>
        </w:rPr>
        <w:t xml:space="preserve">of brain and </w:t>
      </w:r>
      <w:r>
        <w:rPr>
          <w:color w:val="1F497D" w:themeColor="text2"/>
          <w:sz w:val="24"/>
          <w:szCs w:val="24"/>
          <w:lang w:val="en-US"/>
        </w:rPr>
        <w:t>refusal of life-saving treatment by minors</w:t>
      </w:r>
    </w:p>
    <w:p w:rsidR="00EC65A7" w:rsidRPr="00350097" w:rsidRDefault="00B965D3" w:rsidP="00EC65A7">
      <w:pPr>
        <w:spacing w:after="0" w:line="240" w:lineRule="auto"/>
        <w:rPr>
          <w:rFonts w:ascii="Calibri" w:eastAsia="Calibri" w:hAnsi="Calibri" w:cs="Calibri"/>
          <w:color w:val="000000"/>
        </w:rPr>
      </w:pPr>
      <w:r w:rsidRPr="00031B97">
        <w:rPr>
          <w:b/>
          <w:color w:val="7030A0"/>
          <w:sz w:val="24"/>
          <w:szCs w:val="24"/>
          <w:lang w:val="en-US"/>
        </w:rPr>
        <w:t xml:space="preserve">WEDNESDAY, </w:t>
      </w:r>
      <w:r>
        <w:rPr>
          <w:b/>
          <w:color w:val="7030A0"/>
          <w:sz w:val="24"/>
          <w:szCs w:val="24"/>
          <w:lang w:val="en-US"/>
        </w:rPr>
        <w:t xml:space="preserve">2 APRIL </w:t>
      </w:r>
      <w:r w:rsidRPr="00031B97">
        <w:rPr>
          <w:b/>
          <w:color w:val="7030A0"/>
          <w:sz w:val="24"/>
          <w:szCs w:val="24"/>
          <w:lang w:val="en-US"/>
        </w:rPr>
        <w:t xml:space="preserve">2014 </w:t>
      </w:r>
    </w:p>
    <w:p w:rsidR="00EC65A7" w:rsidRPr="00EC65A7" w:rsidRDefault="00B965D3" w:rsidP="00EC65A7">
      <w:pPr>
        <w:spacing w:after="0" w:line="240" w:lineRule="auto"/>
        <w:rPr>
          <w:rFonts w:ascii="Calibri" w:eastAsia="Calibri" w:hAnsi="Calibri" w:cs="Calibri"/>
          <w:color w:val="000000"/>
        </w:rPr>
      </w:pPr>
      <w:r w:rsidRPr="00EC65A7">
        <w:rPr>
          <w:color w:val="C00000"/>
          <w:sz w:val="24"/>
          <w:szCs w:val="24"/>
          <w:lang w:val="en-US"/>
        </w:rPr>
        <w:t>Sandeep Gopalan</w:t>
      </w:r>
    </w:p>
    <w:p w:rsidR="00EC65A7" w:rsidRPr="00EC65A7" w:rsidRDefault="00B965D3" w:rsidP="00EC65A7">
      <w:pPr>
        <w:spacing w:after="0" w:line="240" w:lineRule="auto"/>
        <w:rPr>
          <w:rFonts w:ascii="Calibri" w:eastAsia="Calibri" w:hAnsi="Calibri" w:cs="Calibri"/>
          <w:color w:val="000000"/>
        </w:rPr>
      </w:pPr>
      <w:r w:rsidRPr="00EC65A7">
        <w:rPr>
          <w:color w:val="002060"/>
          <w:sz w:val="24"/>
          <w:szCs w:val="24"/>
          <w:lang w:val="en-US"/>
        </w:rPr>
        <w:t>Dean of the Newcastle Law School</w:t>
      </w:r>
    </w:p>
    <w:p w:rsidR="00EC65A7" w:rsidRPr="00350097" w:rsidRDefault="00B965D3" w:rsidP="00EC65A7">
      <w:pPr>
        <w:spacing w:after="0" w:line="240" w:lineRule="auto"/>
        <w:rPr>
          <w:rFonts w:ascii="Calibri" w:eastAsia="Calibri" w:hAnsi="Calibri" w:cs="Calibri"/>
          <w:color w:val="000000"/>
        </w:rPr>
      </w:pPr>
      <w:r w:rsidRPr="00031B97">
        <w:rPr>
          <w:b/>
          <w:color w:val="7030A0"/>
          <w:sz w:val="24"/>
          <w:szCs w:val="24"/>
          <w:lang w:val="en-US"/>
        </w:rPr>
        <w:t xml:space="preserve">WEDNESDAY, </w:t>
      </w:r>
      <w:r>
        <w:rPr>
          <w:b/>
          <w:color w:val="7030A0"/>
          <w:sz w:val="24"/>
          <w:szCs w:val="24"/>
          <w:lang w:val="en-US"/>
        </w:rPr>
        <w:t xml:space="preserve">7 MAY </w:t>
      </w:r>
      <w:r w:rsidRPr="00031B97">
        <w:rPr>
          <w:b/>
          <w:color w:val="7030A0"/>
          <w:sz w:val="24"/>
          <w:szCs w:val="24"/>
          <w:lang w:val="en-US"/>
        </w:rPr>
        <w:t xml:space="preserve">2014 </w:t>
      </w:r>
    </w:p>
    <w:p w:rsidR="00EC65A7" w:rsidRPr="00EC65A7" w:rsidRDefault="00B965D3" w:rsidP="00EC65A7">
      <w:pPr>
        <w:spacing w:after="0" w:line="240" w:lineRule="auto"/>
        <w:rPr>
          <w:rFonts w:ascii="Calibri" w:eastAsia="Calibri" w:hAnsi="Calibri" w:cs="Calibri"/>
          <w:color w:val="000000"/>
        </w:rPr>
      </w:pPr>
      <w:r w:rsidRPr="00EC65A7">
        <w:rPr>
          <w:color w:val="C00000"/>
          <w:sz w:val="24"/>
          <w:szCs w:val="24"/>
          <w:lang w:val="en-US"/>
        </w:rPr>
        <w:t>Sharon Erbacher</w:t>
      </w:r>
    </w:p>
    <w:p w:rsidR="00EC65A7" w:rsidRPr="00350097" w:rsidRDefault="00B965D3" w:rsidP="00EC65A7">
      <w:pPr>
        <w:spacing w:after="0" w:line="240" w:lineRule="auto"/>
        <w:rPr>
          <w:rFonts w:ascii="Calibri" w:eastAsia="Calibri" w:hAnsi="Calibri" w:cs="Calibri"/>
          <w:color w:val="000000"/>
        </w:rPr>
      </w:pPr>
      <w:r w:rsidRPr="00031B97">
        <w:rPr>
          <w:color w:val="1F497D" w:themeColor="text2"/>
          <w:sz w:val="24"/>
          <w:szCs w:val="24"/>
          <w:lang w:val="en-US"/>
        </w:rPr>
        <w:t>Illegality Defence and Duty of Care</w:t>
      </w:r>
    </w:p>
    <w:p w:rsidR="00EC65A7" w:rsidRPr="00350097" w:rsidRDefault="00B965D3" w:rsidP="00EC65A7">
      <w:pPr>
        <w:spacing w:after="0" w:line="240" w:lineRule="auto"/>
        <w:rPr>
          <w:rFonts w:ascii="Calibri" w:eastAsia="Calibri" w:hAnsi="Calibri" w:cs="Calibri"/>
          <w:color w:val="000000"/>
        </w:rPr>
      </w:pPr>
      <w:r w:rsidRPr="00031B97">
        <w:rPr>
          <w:b/>
          <w:color w:val="7030A0"/>
          <w:sz w:val="24"/>
          <w:szCs w:val="24"/>
          <w:lang w:val="en-US"/>
        </w:rPr>
        <w:t xml:space="preserve">WEDNESDAY, </w:t>
      </w:r>
      <w:r>
        <w:rPr>
          <w:b/>
          <w:color w:val="7030A0"/>
          <w:sz w:val="24"/>
          <w:szCs w:val="24"/>
          <w:lang w:val="en-US"/>
        </w:rPr>
        <w:t xml:space="preserve">4 June </w:t>
      </w:r>
      <w:r w:rsidRPr="00031B97">
        <w:rPr>
          <w:b/>
          <w:color w:val="7030A0"/>
          <w:sz w:val="24"/>
          <w:szCs w:val="24"/>
          <w:lang w:val="en-US"/>
        </w:rPr>
        <w:t xml:space="preserve">2014 </w:t>
      </w:r>
    </w:p>
    <w:p w:rsidR="00EC65A7" w:rsidRPr="00EC65A7" w:rsidRDefault="00B965D3" w:rsidP="00EC65A7">
      <w:pPr>
        <w:spacing w:after="0" w:line="240" w:lineRule="auto"/>
        <w:rPr>
          <w:rFonts w:ascii="Calibri" w:eastAsia="Calibri" w:hAnsi="Calibri" w:cs="Calibri"/>
          <w:color w:val="000000"/>
        </w:rPr>
      </w:pPr>
      <w:r w:rsidRPr="00EC65A7">
        <w:rPr>
          <w:color w:val="C00000"/>
          <w:sz w:val="24"/>
          <w:szCs w:val="24"/>
          <w:lang w:val="en-US"/>
        </w:rPr>
        <w:t>John Morss</w:t>
      </w:r>
    </w:p>
    <w:p w:rsidR="00EC65A7" w:rsidRPr="00350097" w:rsidRDefault="00B965D3" w:rsidP="00EC65A7">
      <w:pPr>
        <w:spacing w:after="0" w:line="240" w:lineRule="auto"/>
        <w:rPr>
          <w:rFonts w:ascii="Calibri" w:eastAsia="Calibri" w:hAnsi="Calibri" w:cs="Calibri"/>
          <w:color w:val="000000"/>
        </w:rPr>
      </w:pPr>
      <w:r w:rsidRPr="00031B97">
        <w:rPr>
          <w:b/>
          <w:color w:val="7030A0"/>
          <w:sz w:val="24"/>
          <w:szCs w:val="24"/>
          <w:lang w:val="en-US"/>
        </w:rPr>
        <w:t xml:space="preserve">WEDNESDAY, </w:t>
      </w:r>
      <w:r>
        <w:rPr>
          <w:b/>
          <w:color w:val="7030A0"/>
          <w:sz w:val="24"/>
          <w:szCs w:val="24"/>
          <w:lang w:val="en-US"/>
        </w:rPr>
        <w:t xml:space="preserve">6 August </w:t>
      </w:r>
      <w:r w:rsidRPr="00031B97">
        <w:rPr>
          <w:b/>
          <w:color w:val="7030A0"/>
          <w:sz w:val="24"/>
          <w:szCs w:val="24"/>
          <w:lang w:val="en-US"/>
        </w:rPr>
        <w:t xml:space="preserve">2014 </w:t>
      </w:r>
    </w:p>
    <w:p w:rsidR="00EC65A7" w:rsidRPr="00EC65A7" w:rsidRDefault="00B965D3" w:rsidP="00EC65A7">
      <w:pPr>
        <w:spacing w:after="0" w:line="240" w:lineRule="auto"/>
        <w:rPr>
          <w:rFonts w:ascii="Calibri" w:eastAsia="Calibri" w:hAnsi="Calibri" w:cs="Calibri"/>
          <w:color w:val="000000"/>
        </w:rPr>
      </w:pPr>
      <w:r w:rsidRPr="00EC65A7">
        <w:rPr>
          <w:color w:val="C00000"/>
          <w:sz w:val="24"/>
          <w:szCs w:val="24"/>
          <w:lang w:val="en-US"/>
        </w:rPr>
        <w:t xml:space="preserve">Richard </w:t>
      </w:r>
      <w:proofErr w:type="spellStart"/>
      <w:r w:rsidRPr="00EC65A7">
        <w:rPr>
          <w:color w:val="C00000"/>
          <w:sz w:val="24"/>
          <w:szCs w:val="24"/>
          <w:lang w:val="en-US"/>
        </w:rPr>
        <w:t>Polikinghorn</w:t>
      </w:r>
      <w:proofErr w:type="spellEnd"/>
    </w:p>
    <w:p w:rsidR="00B965D3" w:rsidRPr="00AE497E" w:rsidRDefault="00B965D3" w:rsidP="00B965D3">
      <w:pPr>
        <w:pStyle w:val="BodyText"/>
        <w:jc w:val="center"/>
        <w:rPr>
          <w:b/>
          <w:color w:val="C00000"/>
          <w:sz w:val="32"/>
          <w:szCs w:val="32"/>
          <w:lang w:val="en-US"/>
        </w:rPr>
      </w:pPr>
      <w:r w:rsidRPr="00AE497E">
        <w:rPr>
          <w:b/>
          <w:color w:val="C00000"/>
          <w:sz w:val="32"/>
          <w:szCs w:val="32"/>
          <w:lang w:val="en-US"/>
        </w:rPr>
        <w:t>Centre for Rural Regional Law and Justice</w:t>
      </w:r>
    </w:p>
    <w:p w:rsidR="00B965D3" w:rsidRPr="00057901" w:rsidRDefault="00B965D3" w:rsidP="00B965D3">
      <w:pPr>
        <w:pStyle w:val="BodyText"/>
        <w:rPr>
          <w:b/>
          <w:color w:val="7030A0"/>
          <w:lang w:val="en-US"/>
        </w:rPr>
      </w:pPr>
      <w:r w:rsidRPr="00057901">
        <w:rPr>
          <w:b/>
          <w:color w:val="7030A0"/>
          <w:lang w:val="en-US"/>
        </w:rPr>
        <w:t>New Appointments Centre for Rural Regional Law and Justice</w:t>
      </w:r>
    </w:p>
    <w:p w:rsidR="00B965D3" w:rsidRPr="00F62580" w:rsidRDefault="00B965D3" w:rsidP="00B965D3">
      <w:pPr>
        <w:pStyle w:val="BodyText"/>
        <w:rPr>
          <w:color w:val="1F497D" w:themeColor="text2"/>
          <w:lang w:val="en-US"/>
        </w:rPr>
      </w:pPr>
      <w:r w:rsidRPr="00057901">
        <w:rPr>
          <w:b/>
          <w:color w:val="C00000"/>
          <w:lang w:val="en-US"/>
        </w:rPr>
        <w:t>Ian Parson</w:t>
      </w:r>
      <w:r w:rsidRPr="00057901">
        <w:rPr>
          <w:color w:val="C00000"/>
          <w:lang w:val="en-US"/>
        </w:rPr>
        <w:t xml:space="preserve"> </w:t>
      </w:r>
      <w:r w:rsidRPr="00F62580">
        <w:rPr>
          <w:color w:val="1F497D" w:themeColor="text2"/>
          <w:lang w:val="en-US"/>
        </w:rPr>
        <w:t>has been appointed to the position of Research Fellow with the Centre. Ian’s background includes Advisor to the State Minister for Community Services and Researcher with the Victorian Law Reform Commission. He has a worked extensively in the disability field and has authored several books.</w:t>
      </w:r>
    </w:p>
    <w:p w:rsidR="00B965D3" w:rsidRPr="00F62580" w:rsidRDefault="00B965D3" w:rsidP="00B965D3">
      <w:pPr>
        <w:pStyle w:val="BodyText"/>
        <w:rPr>
          <w:color w:val="1F497D" w:themeColor="text2"/>
          <w:lang w:val="en-US"/>
        </w:rPr>
      </w:pPr>
      <w:r w:rsidRPr="00057901">
        <w:rPr>
          <w:b/>
          <w:color w:val="C00000"/>
          <w:lang w:val="en-US"/>
        </w:rPr>
        <w:t>Dr Bridget Harris</w:t>
      </w:r>
      <w:r w:rsidRPr="00057901">
        <w:rPr>
          <w:color w:val="C00000"/>
          <w:lang w:val="en-US"/>
        </w:rPr>
        <w:t xml:space="preserve"> </w:t>
      </w:r>
      <w:r w:rsidRPr="00F62580">
        <w:rPr>
          <w:color w:val="1F497D" w:themeColor="text2"/>
          <w:lang w:val="en-US"/>
        </w:rPr>
        <w:t>has also recently been appointed to replace Dr Lucinda Jordan while Lucinda is on 6 months leave.</w:t>
      </w:r>
      <w:r>
        <w:rPr>
          <w:color w:val="1F497D" w:themeColor="text2"/>
          <w:lang w:val="en-US"/>
        </w:rPr>
        <w:t xml:space="preserve"> </w:t>
      </w:r>
      <w:r w:rsidRPr="00F62580">
        <w:rPr>
          <w:color w:val="1F497D" w:themeColor="text2"/>
          <w:lang w:val="en-US"/>
        </w:rPr>
        <w:t>Bridget has a background in criminology and was previously Researcher and Teaching Associate with the Department of Criminal Justice, Monash University.</w:t>
      </w:r>
    </w:p>
    <w:p w:rsidR="00B965D3" w:rsidRPr="00057901" w:rsidRDefault="00B965D3" w:rsidP="00B965D3">
      <w:pPr>
        <w:pStyle w:val="BodyText"/>
        <w:rPr>
          <w:b/>
          <w:color w:val="7030A0"/>
          <w:lang w:val="en-US"/>
        </w:rPr>
      </w:pPr>
      <w:r w:rsidRPr="00057901">
        <w:rPr>
          <w:b/>
          <w:color w:val="7030A0"/>
          <w:lang w:val="en-US"/>
        </w:rPr>
        <w:t xml:space="preserve">The Centre has also provided detailed submissions to a number of recent Federal and State Inquiries, including: </w:t>
      </w:r>
    </w:p>
    <w:p w:rsidR="00B965D3" w:rsidRPr="00223625" w:rsidRDefault="00B965D3" w:rsidP="00B965D3">
      <w:pPr>
        <w:spacing w:after="0" w:line="240" w:lineRule="auto"/>
        <w:rPr>
          <w:rFonts w:ascii="Calibri" w:eastAsia="Calibri" w:hAnsi="Calibri" w:cs="Calibri"/>
          <w:color w:val="000000"/>
        </w:rPr>
      </w:pPr>
      <w:r w:rsidRPr="00F62580">
        <w:rPr>
          <w:color w:val="1F497D" w:themeColor="text2"/>
          <w:lang w:val="en-US"/>
        </w:rPr>
        <w:lastRenderedPageBreak/>
        <w:t>•        The Productivity Commission Inquiry into Access to Civil Justice</w:t>
      </w:r>
    </w:p>
    <w:p w:rsidR="00B965D3" w:rsidRPr="00223625" w:rsidRDefault="00B965D3" w:rsidP="00B965D3">
      <w:pPr>
        <w:spacing w:after="0" w:line="240" w:lineRule="auto"/>
        <w:rPr>
          <w:rFonts w:ascii="Calibri" w:eastAsia="Calibri" w:hAnsi="Calibri" w:cs="Calibri"/>
          <w:color w:val="000000"/>
        </w:rPr>
      </w:pPr>
      <w:r w:rsidRPr="00F62580">
        <w:rPr>
          <w:color w:val="1F497D" w:themeColor="text2"/>
          <w:lang w:val="en-US"/>
        </w:rPr>
        <w:t>•        The Australian Law Reform Commission Inquiry into Legal Barriers for People with Disability</w:t>
      </w:r>
    </w:p>
    <w:p w:rsidR="00B965D3" w:rsidRPr="00223625" w:rsidRDefault="00B965D3" w:rsidP="00B965D3">
      <w:pPr>
        <w:spacing w:after="0" w:line="240" w:lineRule="auto"/>
        <w:rPr>
          <w:rFonts w:ascii="Calibri" w:eastAsia="Calibri" w:hAnsi="Calibri" w:cs="Calibri"/>
          <w:color w:val="000000"/>
        </w:rPr>
      </w:pPr>
      <w:r w:rsidRPr="00F62580">
        <w:rPr>
          <w:color w:val="1F497D" w:themeColor="text2"/>
          <w:lang w:val="en-US"/>
        </w:rPr>
        <w:t>•        Victorian Parliament Family and Community Development Committee Inquiry into Social Inclusion of People with a Disability.</w:t>
      </w:r>
      <w:r w:rsidRPr="00350097">
        <w:rPr>
          <w:rFonts w:ascii="Calibri" w:eastAsia="Calibri" w:hAnsi="Calibri" w:cs="Calibri"/>
          <w:color w:val="000000"/>
        </w:rPr>
        <w:t xml:space="preserve"> </w:t>
      </w:r>
    </w:p>
    <w:p w:rsidR="00B965D3" w:rsidRPr="00223625" w:rsidRDefault="00B965D3" w:rsidP="00B965D3">
      <w:pPr>
        <w:spacing w:after="0" w:line="240" w:lineRule="auto"/>
        <w:rPr>
          <w:rFonts w:ascii="Calibri" w:eastAsia="Calibri" w:hAnsi="Calibri" w:cs="Calibri"/>
          <w:color w:val="000000"/>
        </w:rPr>
      </w:pPr>
      <w:r w:rsidRPr="00F62580">
        <w:rPr>
          <w:color w:val="1F497D" w:themeColor="text2"/>
          <w:lang w:val="en-US"/>
        </w:rPr>
        <w:t>Two research projects have been recently completed by the Centre:</w:t>
      </w:r>
      <w:r w:rsidRPr="00350097">
        <w:rPr>
          <w:rFonts w:ascii="Calibri" w:eastAsia="Calibri" w:hAnsi="Calibri" w:cs="Calibri"/>
          <w:color w:val="000000"/>
        </w:rPr>
        <w:t xml:space="preserve"> </w:t>
      </w:r>
    </w:p>
    <w:p w:rsidR="00B965D3" w:rsidRPr="00350097" w:rsidRDefault="00B965D3" w:rsidP="00B965D3">
      <w:pPr>
        <w:spacing w:after="0" w:line="240" w:lineRule="auto"/>
        <w:rPr>
          <w:rFonts w:ascii="Calibri" w:eastAsia="Calibri" w:hAnsi="Calibri" w:cs="Calibri"/>
          <w:color w:val="000000"/>
        </w:rPr>
      </w:pPr>
      <w:r w:rsidRPr="00F62580">
        <w:rPr>
          <w:color w:val="1F497D" w:themeColor="text2"/>
          <w:lang w:val="en-US"/>
        </w:rPr>
        <w:t xml:space="preserve">•        </w:t>
      </w:r>
      <w:r w:rsidRPr="00350097">
        <w:rPr>
          <w:b/>
          <w:color w:val="1F497D" w:themeColor="text2"/>
          <w:lang w:val="en-US"/>
        </w:rPr>
        <w:t>Women's Experience of surviving family violence and accessing the Magistrates' Court in Geelong, Victoria</w:t>
      </w:r>
    </w:p>
    <w:p w:rsidR="00B965D3" w:rsidRPr="00223625" w:rsidRDefault="00B965D3" w:rsidP="00B965D3">
      <w:pPr>
        <w:spacing w:after="0" w:line="240" w:lineRule="auto"/>
        <w:rPr>
          <w:rFonts w:ascii="Calibri" w:eastAsia="Calibri" w:hAnsi="Calibri" w:cs="Calibri"/>
          <w:color w:val="000000"/>
        </w:rPr>
      </w:pPr>
      <w:r w:rsidRPr="00F62580">
        <w:rPr>
          <w:color w:val="1F497D" w:themeColor="text2"/>
          <w:lang w:val="en-US"/>
        </w:rPr>
        <w:t xml:space="preserve">•        </w:t>
      </w:r>
      <w:r w:rsidRPr="00350097">
        <w:rPr>
          <w:b/>
          <w:color w:val="1F497D" w:themeColor="text2"/>
          <w:lang w:val="en-US"/>
        </w:rPr>
        <w:t>Conflict of Interest in Victorian Regional Legal Practice</w:t>
      </w:r>
    </w:p>
    <w:p w:rsidR="00B965D3" w:rsidRPr="00223625" w:rsidRDefault="00B965D3" w:rsidP="00B965D3">
      <w:pPr>
        <w:spacing w:after="0" w:line="240" w:lineRule="auto"/>
        <w:rPr>
          <w:rFonts w:ascii="Calibri" w:eastAsia="Calibri" w:hAnsi="Calibri" w:cs="Calibri"/>
          <w:color w:val="000000"/>
        </w:rPr>
      </w:pPr>
      <w:r w:rsidRPr="00F62580">
        <w:rPr>
          <w:color w:val="1F497D" w:themeColor="text2"/>
          <w:lang w:val="en-US"/>
        </w:rPr>
        <w:t xml:space="preserve">Inquiry submissions and research reports are available on the Centre website at http://www.deakin.edu.au/buslaw/law/crrlj/research.php </w:t>
      </w:r>
    </w:p>
    <w:p w:rsidR="00B965D3" w:rsidRPr="00223625" w:rsidRDefault="00B965D3" w:rsidP="00B965D3">
      <w:pPr>
        <w:spacing w:after="0" w:line="240" w:lineRule="auto"/>
        <w:rPr>
          <w:rFonts w:ascii="Calibri" w:eastAsia="Calibri" w:hAnsi="Calibri" w:cs="Calibri"/>
          <w:color w:val="000000"/>
        </w:rPr>
      </w:pPr>
      <w:r w:rsidRPr="00F62580">
        <w:rPr>
          <w:color w:val="1F497D" w:themeColor="text2"/>
          <w:lang w:val="en-US"/>
        </w:rPr>
        <w:t xml:space="preserve">A research proposal has recently been made to the Department of Human Services Disability Donations Trust to undertake a research project titled: </w:t>
      </w:r>
    </w:p>
    <w:p w:rsidR="00B965D3" w:rsidRDefault="00B965D3" w:rsidP="00B965D3">
      <w:pPr>
        <w:spacing w:after="0" w:line="240" w:lineRule="auto"/>
        <w:rPr>
          <w:b/>
          <w:color w:val="1F497D" w:themeColor="text2"/>
          <w:lang w:val="en-US"/>
        </w:rPr>
      </w:pPr>
      <w:r w:rsidRPr="00350097">
        <w:rPr>
          <w:b/>
          <w:color w:val="1F497D" w:themeColor="text2"/>
          <w:lang w:val="en-US"/>
        </w:rPr>
        <w:t xml:space="preserve">Young people with intellectual disability and their interactions with youth justice system in </w:t>
      </w:r>
      <w:proofErr w:type="spellStart"/>
      <w:r w:rsidRPr="00350097">
        <w:rPr>
          <w:b/>
          <w:color w:val="1F497D" w:themeColor="text2"/>
          <w:lang w:val="en-US"/>
        </w:rPr>
        <w:t>Barwon</w:t>
      </w:r>
      <w:proofErr w:type="spellEnd"/>
      <w:r w:rsidRPr="00350097">
        <w:rPr>
          <w:b/>
          <w:color w:val="1F497D" w:themeColor="text2"/>
          <w:lang w:val="en-US"/>
        </w:rPr>
        <w:t xml:space="preserve"> National Disability Insurance Scheme (NDIS) launch site. </w:t>
      </w:r>
    </w:p>
    <w:p w:rsidR="00B965D3" w:rsidRPr="00350097" w:rsidRDefault="00B965D3" w:rsidP="00B965D3">
      <w:pPr>
        <w:spacing w:after="0" w:line="240" w:lineRule="auto"/>
        <w:rPr>
          <w:rFonts w:ascii="Calibri" w:eastAsia="Calibri" w:hAnsi="Calibri" w:cs="Calibri"/>
          <w:b/>
          <w:color w:val="000000"/>
        </w:rPr>
      </w:pPr>
    </w:p>
    <w:p w:rsidR="00B965D3" w:rsidRPr="00350097" w:rsidRDefault="00B965D3" w:rsidP="00B965D3">
      <w:pPr>
        <w:jc w:val="center"/>
        <w:rPr>
          <w:b/>
          <w:color w:val="C00000"/>
          <w:sz w:val="32"/>
          <w:szCs w:val="32"/>
        </w:rPr>
      </w:pPr>
      <w:r w:rsidRPr="00350097">
        <w:rPr>
          <w:b/>
          <w:color w:val="C00000"/>
          <w:sz w:val="32"/>
          <w:szCs w:val="32"/>
        </w:rPr>
        <w:t>HDR SUPERVISOR TRAINING WORKSHOPS</w:t>
      </w:r>
    </w:p>
    <w:p w:rsidR="00B965D3" w:rsidRPr="00350097" w:rsidRDefault="00B965D3" w:rsidP="00B965D3">
      <w:pPr>
        <w:spacing w:after="0" w:line="240" w:lineRule="auto"/>
        <w:rPr>
          <w:rFonts w:ascii="Calibri" w:eastAsia="Calibri" w:hAnsi="Calibri" w:cs="Calibri"/>
          <w:color w:val="1F497D" w:themeColor="text2"/>
        </w:rPr>
      </w:pPr>
      <w:r w:rsidRPr="00350097">
        <w:rPr>
          <w:color w:val="1F497D" w:themeColor="text2"/>
        </w:rPr>
        <w:t>Attached please find the 2014 program of HDR supervisor training workshops. These are primarily aimed at new or prospective supervisors, who can qualify to become principal supervisors through the ‘Fast-Track’ program as described in the second attachment.</w:t>
      </w:r>
      <w:r w:rsidRPr="00350097">
        <w:rPr>
          <w:rFonts w:ascii="Calibri" w:eastAsia="Calibri" w:hAnsi="Calibri" w:cs="Calibri"/>
          <w:color w:val="1F497D" w:themeColor="text2"/>
        </w:rPr>
        <w:t xml:space="preserve"> </w:t>
      </w:r>
    </w:p>
    <w:p w:rsidR="00B965D3" w:rsidRPr="00350097" w:rsidRDefault="00B965D3" w:rsidP="00B965D3">
      <w:pPr>
        <w:spacing w:after="0" w:line="240" w:lineRule="auto"/>
        <w:rPr>
          <w:rFonts w:ascii="Calibri" w:eastAsia="Calibri" w:hAnsi="Calibri" w:cs="Calibri"/>
          <w:color w:val="1F497D" w:themeColor="text2"/>
        </w:rPr>
      </w:pPr>
      <w:r w:rsidRPr="00350097">
        <w:rPr>
          <w:color w:val="1F497D" w:themeColor="text2"/>
        </w:rPr>
        <w:t>For current supervisors, web-based materials are currently being developed to support ongoing training and professional development – we’ll be sending out information on this in the next few months.</w:t>
      </w:r>
      <w:r w:rsidRPr="00350097">
        <w:rPr>
          <w:rFonts w:ascii="Calibri" w:eastAsia="Calibri" w:hAnsi="Calibri" w:cs="Calibri"/>
          <w:color w:val="1F497D" w:themeColor="text2"/>
        </w:rPr>
        <w:t xml:space="preserve"> </w:t>
      </w:r>
    </w:p>
    <w:p w:rsidR="00B965D3" w:rsidRPr="00350097" w:rsidRDefault="00B965D3" w:rsidP="00B965D3">
      <w:pPr>
        <w:spacing w:after="0" w:line="240" w:lineRule="auto"/>
        <w:rPr>
          <w:rFonts w:ascii="Calibri" w:eastAsia="Calibri" w:hAnsi="Calibri" w:cs="Calibri"/>
          <w:color w:val="1F497D" w:themeColor="text2"/>
        </w:rPr>
      </w:pPr>
      <w:r w:rsidRPr="00350097">
        <w:rPr>
          <w:color w:val="1F497D" w:themeColor="text2"/>
          <w:lang w:eastAsia="en-AU"/>
        </w:rPr>
        <w:t>Professor Roger Horn</w:t>
      </w:r>
    </w:p>
    <w:p w:rsidR="00B965D3" w:rsidRPr="00350097" w:rsidRDefault="00B965D3" w:rsidP="00B965D3">
      <w:pPr>
        <w:spacing w:after="0" w:line="240" w:lineRule="auto"/>
        <w:rPr>
          <w:rFonts w:ascii="Calibri" w:eastAsia="Calibri" w:hAnsi="Calibri" w:cs="Calibri"/>
          <w:color w:val="1F497D" w:themeColor="text2"/>
        </w:rPr>
      </w:pPr>
      <w:r w:rsidRPr="00350097">
        <w:rPr>
          <w:color w:val="1F497D" w:themeColor="text2"/>
          <w:lang w:eastAsia="en-AU"/>
        </w:rPr>
        <w:t>Dean of Research Training T: +61 (0)3 9244 6271</w:t>
      </w:r>
    </w:p>
    <w:p w:rsidR="00B965D3" w:rsidRPr="00350097" w:rsidRDefault="00B965D3" w:rsidP="00B965D3">
      <w:pPr>
        <w:spacing w:after="0" w:line="240" w:lineRule="auto"/>
        <w:rPr>
          <w:rFonts w:ascii="Calibri" w:eastAsia="Calibri" w:hAnsi="Calibri" w:cs="Calibri"/>
          <w:color w:val="000000"/>
        </w:rPr>
      </w:pPr>
      <w:r w:rsidRPr="00350097">
        <w:rPr>
          <w:color w:val="1F497D" w:themeColor="text2"/>
          <w:lang w:eastAsia="en-AU"/>
        </w:rPr>
        <w:t xml:space="preserve">E:  </w:t>
      </w:r>
      <w:hyperlink r:id="rId14" w:history="1">
        <w:r w:rsidRPr="00350097">
          <w:rPr>
            <w:rStyle w:val="Hyperlink"/>
            <w:lang w:eastAsia="en-AU"/>
          </w:rPr>
          <w:t>roger.horn@deakin.edu.au</w:t>
        </w:r>
      </w:hyperlink>
      <w:r w:rsidRPr="00350097">
        <w:rPr>
          <w:lang w:eastAsia="en-AU"/>
        </w:rPr>
        <w:t xml:space="preserve"> </w:t>
      </w:r>
    </w:p>
    <w:p w:rsidR="00151379" w:rsidRDefault="00151379" w:rsidP="00151379">
      <w:pPr>
        <w:jc w:val="center"/>
        <w:rPr>
          <w:b/>
          <w:color w:val="C00000"/>
          <w:sz w:val="28"/>
          <w:szCs w:val="28"/>
        </w:rPr>
      </w:pPr>
      <w:r w:rsidRPr="00151379">
        <w:rPr>
          <w:b/>
          <w:color w:val="C00000"/>
          <w:sz w:val="28"/>
          <w:szCs w:val="28"/>
        </w:rPr>
        <w:t>HDR CANDIDATES</w:t>
      </w:r>
    </w:p>
    <w:p w:rsidR="00FD5075" w:rsidRPr="00FD5075" w:rsidRDefault="00FD5075" w:rsidP="00FD5075">
      <w:pPr>
        <w:spacing w:after="0" w:line="240" w:lineRule="auto"/>
        <w:jc w:val="center"/>
        <w:rPr>
          <w:rFonts w:ascii="Calibri" w:eastAsia="Calibri" w:hAnsi="Calibri" w:cs="Calibri"/>
          <w:b/>
          <w:color w:val="7030A0"/>
        </w:rPr>
      </w:pPr>
      <w:r w:rsidRPr="00FD5075">
        <w:rPr>
          <w:b/>
          <w:color w:val="7030A0"/>
        </w:rPr>
        <w:t>HIGHER DEGREES BY RESEARCH (HDR) CANDIDATE SUPPORTS</w:t>
      </w:r>
    </w:p>
    <w:p w:rsidR="00151379" w:rsidRPr="00FD5075" w:rsidRDefault="00151379" w:rsidP="00151379">
      <w:pPr>
        <w:spacing w:after="0" w:line="240" w:lineRule="auto"/>
        <w:rPr>
          <w:rFonts w:ascii="Calibri" w:eastAsia="Calibri" w:hAnsi="Calibri" w:cs="Calibri"/>
          <w:b/>
          <w:color w:val="1F497D" w:themeColor="text2"/>
        </w:rPr>
      </w:pPr>
      <w:r w:rsidRPr="00FD5075">
        <w:rPr>
          <w:b/>
        </w:rPr>
        <w:t>OFFICE OF THE DEPUTY VICE-CHANCELLOR (RESEARCH)</w:t>
      </w:r>
      <w:r w:rsidRPr="00FD5075">
        <w:rPr>
          <w:rFonts w:ascii="Calibri" w:eastAsia="Calibri" w:hAnsi="Calibri" w:cs="Calibri"/>
          <w:b/>
          <w:color w:val="1F497D" w:themeColor="text2"/>
        </w:rPr>
        <w:t xml:space="preserve"> </w:t>
      </w:r>
    </w:p>
    <w:p w:rsidR="00737065" w:rsidRPr="00984054" w:rsidRDefault="00FD5075" w:rsidP="00737065">
      <w:pPr>
        <w:pStyle w:val="BodyText"/>
        <w:spacing w:after="0" w:line="240" w:lineRule="auto"/>
        <w:rPr>
          <w:b/>
          <w:color w:val="1F497D" w:themeColor="text2"/>
          <w:lang w:val="en-US"/>
        </w:rPr>
      </w:pPr>
      <w:r>
        <w:t>At present, s</w:t>
      </w:r>
      <w:r w:rsidR="00151379">
        <w:t>upport services for HDR candidates are provided from several organisational units within the University</w:t>
      </w:r>
      <w:r>
        <w:t xml:space="preserve">, </w:t>
      </w:r>
      <w:r w:rsidR="00151379">
        <w:t xml:space="preserve">including: </w:t>
      </w:r>
    </w:p>
    <w:p w:rsidR="00151379" w:rsidRPr="00350097" w:rsidRDefault="00151379" w:rsidP="00151379">
      <w:pPr>
        <w:spacing w:after="0" w:line="240" w:lineRule="auto"/>
        <w:rPr>
          <w:rFonts w:ascii="Calibri" w:eastAsia="Calibri" w:hAnsi="Calibri" w:cs="Calibri"/>
          <w:color w:val="1F497D" w:themeColor="text2"/>
        </w:rPr>
      </w:pPr>
      <w:r>
        <w:t>•</w:t>
      </w:r>
      <w:r>
        <w:tab/>
      </w:r>
      <w:proofErr w:type="gramStart"/>
      <w:r>
        <w:t>for</w:t>
      </w:r>
      <w:proofErr w:type="gramEnd"/>
      <w:r>
        <w:t xml:space="preserve"> all candidates centrally through Deakin Research;</w:t>
      </w:r>
      <w:r w:rsidRPr="00151379">
        <w:rPr>
          <w:rFonts w:ascii="Calibri" w:eastAsia="Calibri" w:hAnsi="Calibri" w:cs="Calibri"/>
          <w:color w:val="1F497D" w:themeColor="text2"/>
        </w:rPr>
        <w:t xml:space="preserve"> </w:t>
      </w:r>
    </w:p>
    <w:p w:rsidR="00151379" w:rsidRPr="00350097" w:rsidRDefault="00151379" w:rsidP="00151379">
      <w:pPr>
        <w:spacing w:after="0" w:line="240" w:lineRule="auto"/>
        <w:rPr>
          <w:rFonts w:ascii="Calibri" w:eastAsia="Calibri" w:hAnsi="Calibri" w:cs="Calibri"/>
          <w:color w:val="1F497D" w:themeColor="text2"/>
        </w:rPr>
      </w:pPr>
      <w:r>
        <w:t>•</w:t>
      </w:r>
      <w:r>
        <w:tab/>
      </w:r>
      <w:proofErr w:type="gramStart"/>
      <w:r>
        <w:t>discipline</w:t>
      </w:r>
      <w:proofErr w:type="gramEnd"/>
      <w:r>
        <w:t xml:space="preserve"> or program-specific supports locally through faculties, schools, </w:t>
      </w:r>
      <w:r w:rsidR="00FD5075">
        <w:t xml:space="preserve">etc., </w:t>
      </w:r>
      <w:r>
        <w:t>and</w:t>
      </w:r>
    </w:p>
    <w:p w:rsidR="00151379" w:rsidRPr="00350097" w:rsidRDefault="00151379" w:rsidP="00151379">
      <w:pPr>
        <w:spacing w:after="0" w:line="240" w:lineRule="auto"/>
        <w:rPr>
          <w:rFonts w:ascii="Calibri" w:eastAsia="Calibri" w:hAnsi="Calibri" w:cs="Calibri"/>
          <w:color w:val="1F497D" w:themeColor="text2"/>
        </w:rPr>
      </w:pPr>
      <w:r>
        <w:t>•</w:t>
      </w:r>
      <w:r>
        <w:tab/>
      </w:r>
      <w:proofErr w:type="gramStart"/>
      <w:r>
        <w:t>relevant</w:t>
      </w:r>
      <w:proofErr w:type="gramEnd"/>
      <w:r>
        <w:t xml:space="preserve"> supports through the Library and other divisions within the University targeted to the high-level research needs of HDR students.</w:t>
      </w:r>
      <w:r w:rsidRPr="00151379">
        <w:rPr>
          <w:rFonts w:ascii="Calibri" w:eastAsia="Calibri" w:hAnsi="Calibri" w:cs="Calibri"/>
          <w:color w:val="1F497D" w:themeColor="text2"/>
        </w:rPr>
        <w:t xml:space="preserve"> </w:t>
      </w:r>
    </w:p>
    <w:p w:rsidR="00FD5075" w:rsidRDefault="00FD5075" w:rsidP="00E629A5">
      <w:pPr>
        <w:spacing w:after="0" w:line="240" w:lineRule="auto"/>
        <w:rPr>
          <w:b/>
        </w:rPr>
      </w:pPr>
    </w:p>
    <w:p w:rsidR="00E629A5" w:rsidRPr="00350097" w:rsidRDefault="00151379" w:rsidP="00E629A5">
      <w:pPr>
        <w:spacing w:after="0" w:line="240" w:lineRule="auto"/>
        <w:rPr>
          <w:rFonts w:ascii="Calibri" w:eastAsia="Calibri" w:hAnsi="Calibri" w:cs="Calibri"/>
          <w:color w:val="1F497D" w:themeColor="text2"/>
        </w:rPr>
      </w:pPr>
      <w:r w:rsidRPr="00E629A5">
        <w:rPr>
          <w:b/>
        </w:rPr>
        <w:t>CENTRAL SUPPORT FROM/THROUGH DEAKIN RESEARCH</w:t>
      </w:r>
    </w:p>
    <w:p w:rsidR="00E629A5" w:rsidRPr="00350097" w:rsidRDefault="00151379" w:rsidP="00E629A5">
      <w:pPr>
        <w:spacing w:after="0" w:line="240" w:lineRule="auto"/>
        <w:rPr>
          <w:rFonts w:ascii="Calibri" w:eastAsia="Calibri" w:hAnsi="Calibri" w:cs="Calibri"/>
          <w:color w:val="1F497D" w:themeColor="text2"/>
        </w:rPr>
      </w:pPr>
      <w:r>
        <w:t xml:space="preserve">Either directly or indirectly, Deakin Research provides a wide array of supports for HDR candidates within the University. Some of the support provided by Deakin Research is quite ‘invisible’. For all of the almost 1,500 HDR candidates, all elements of their candidature is monitored from the point of admission/enrolment through to completion. Supervisor training and quality assurance is provided. Annual progress reports are administered, and at-risk candidates receive additional support. Deakin Research also manages human and animal ethics approvals and research conduct, deals with any complaints on behalf of HDR candidates, implements university research policy and procedures relevant to the HDR program, and administers the University’s scholarships and awards. A suite of online and face-to-face skills and career development workshops for HDR candidates is offered as well as a means of preparing HDR graduates for success post-completion. </w:t>
      </w:r>
    </w:p>
    <w:p w:rsidR="00E629A5" w:rsidRPr="00350097" w:rsidRDefault="00151379" w:rsidP="00E629A5">
      <w:pPr>
        <w:spacing w:after="0" w:line="240" w:lineRule="auto"/>
        <w:rPr>
          <w:rFonts w:ascii="Calibri" w:eastAsia="Calibri" w:hAnsi="Calibri" w:cs="Calibri"/>
          <w:color w:val="1F497D" w:themeColor="text2"/>
        </w:rPr>
      </w:pPr>
      <w:r w:rsidRPr="00E629A5">
        <w:rPr>
          <w:b/>
        </w:rPr>
        <w:lastRenderedPageBreak/>
        <w:t>Scholarships and awards</w:t>
      </w:r>
    </w:p>
    <w:p w:rsidR="00E629A5" w:rsidRPr="00350097" w:rsidRDefault="00151379" w:rsidP="00E629A5">
      <w:pPr>
        <w:spacing w:after="0" w:line="240" w:lineRule="auto"/>
        <w:rPr>
          <w:rFonts w:ascii="Calibri" w:eastAsia="Calibri" w:hAnsi="Calibri" w:cs="Calibri"/>
          <w:color w:val="1F497D" w:themeColor="text2"/>
        </w:rPr>
      </w:pPr>
      <w:r>
        <w:t>University-wide scholarships and awards include:</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Australian Postgraduate Awards (APA)</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Deakin Postgraduate Research Scholarships (DUPRS)</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International Postgraduate Research Scholarships (IPRS)</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Publication Scholarships (post-completion)</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Endeavour Awards, Fulbright Scholarships, other external awards</w:t>
      </w:r>
    </w:p>
    <w:p w:rsidR="00E629A5" w:rsidRPr="00350097" w:rsidRDefault="00151379" w:rsidP="00E629A5">
      <w:pPr>
        <w:spacing w:after="0" w:line="240" w:lineRule="auto"/>
        <w:rPr>
          <w:rFonts w:ascii="Calibri" w:eastAsia="Calibri" w:hAnsi="Calibri" w:cs="Calibri"/>
          <w:color w:val="1F497D" w:themeColor="text2"/>
        </w:rPr>
      </w:pPr>
      <w:r>
        <w:t>•</w:t>
      </w:r>
      <w:r>
        <w:tab/>
        <w:t>Elite Editing Thesis Scholarships</w:t>
      </w:r>
    </w:p>
    <w:p w:rsidR="00E629A5" w:rsidRPr="00350097" w:rsidRDefault="00151379" w:rsidP="00E629A5">
      <w:pPr>
        <w:spacing w:after="0" w:line="240" w:lineRule="auto"/>
        <w:rPr>
          <w:rFonts w:ascii="Calibri" w:eastAsia="Calibri" w:hAnsi="Calibri" w:cs="Calibri"/>
          <w:color w:val="1F497D" w:themeColor="text2"/>
        </w:rPr>
      </w:pPr>
      <w:r>
        <w:t>•</w:t>
      </w:r>
      <w:r>
        <w:tab/>
        <w:t xml:space="preserve">Neil </w:t>
      </w:r>
      <w:proofErr w:type="spellStart"/>
      <w:r>
        <w:t>Archibold</w:t>
      </w:r>
      <w:proofErr w:type="spellEnd"/>
      <w:r>
        <w:t xml:space="preserve"> Memorial Travel Award and Medal. </w:t>
      </w:r>
    </w:p>
    <w:p w:rsidR="00E629A5" w:rsidRDefault="00E629A5" w:rsidP="00E629A5">
      <w:pPr>
        <w:spacing w:after="0" w:line="240" w:lineRule="auto"/>
      </w:pPr>
    </w:p>
    <w:p w:rsidR="00E629A5" w:rsidRPr="00E629A5" w:rsidRDefault="00151379" w:rsidP="00E629A5">
      <w:pPr>
        <w:spacing w:after="0" w:line="240" w:lineRule="auto"/>
        <w:rPr>
          <w:rFonts w:ascii="Calibri" w:eastAsia="Calibri" w:hAnsi="Calibri" w:cs="Calibri"/>
          <w:b/>
          <w:color w:val="1F497D" w:themeColor="text2"/>
        </w:rPr>
      </w:pPr>
      <w:r w:rsidRPr="00E629A5">
        <w:rPr>
          <w:b/>
        </w:rPr>
        <w:t xml:space="preserve">Career and skill development workshops  </w:t>
      </w:r>
    </w:p>
    <w:p w:rsidR="00E629A5" w:rsidRPr="00350097" w:rsidRDefault="00151379" w:rsidP="00E629A5">
      <w:pPr>
        <w:spacing w:after="0" w:line="240" w:lineRule="auto"/>
        <w:rPr>
          <w:rFonts w:ascii="Calibri" w:eastAsia="Calibri" w:hAnsi="Calibri" w:cs="Calibri"/>
          <w:color w:val="1F497D" w:themeColor="text2"/>
        </w:rPr>
      </w:pPr>
      <w:r>
        <w:t>A set of 22 workshop topics is provided or facilitated by Deakin Research, with contributions from the Library and other divisions, for the benefit of higher degree by research candidates and their supervisors at all campuses. Topics include the following, with the presenters shown in brackets (DR = Deakin Research; Lib = Library; DSL = Division of Student Life; IFM = Institute for Frontier Materials):</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Induction 1 (Procedures and support) (DR/DSL)</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Induction 2 (Life as a research student) (DR)</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Information discovery and management (Lib)</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Managing references and sources  (Lib)</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Tracking authors and papers (Lib)</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Where to publish</w:t>
      </w:r>
      <w:proofErr w:type="gramStart"/>
      <w:r>
        <w:t>?:</w:t>
      </w:r>
      <w:proofErr w:type="gramEnd"/>
      <w:r>
        <w:t xml:space="preserve"> quality, reputation, impact (Lib)</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Planning your research (and your time) (DR)</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Reading and note-taking (DSL)</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Preparing for Confirmation of Candidature (DR)</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Human Research Ethics seminar (DR)</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Human Research Ethics low- risk research form (DR)</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National Ethics Application Form (NEAF) workshop (DR)</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Research Integrity (DR)</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Biosafety induction (PC1/PC2) (IFM)</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Use of a Class II Biological Safety Cabinet (IFM)</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Writing a literature review (DSL)</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Academic writing (DSL)</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Specialist seminars on scholarly communication and publishing, for example The Inside Guide to getting published (Lib/DR)</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Presentation skills (DR)</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Networking skills (DR)</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Introduction to statistics and SPSS (DR)</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Approaching completion (DR)</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Career planning (DR)</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t>Chapter writing retreat (DR)</w:t>
      </w:r>
      <w:r w:rsidR="00E629A5" w:rsidRPr="00E629A5">
        <w:rPr>
          <w:rFonts w:ascii="Calibri" w:eastAsia="Calibri" w:hAnsi="Calibri" w:cs="Calibri"/>
          <w:color w:val="1F497D" w:themeColor="text2"/>
        </w:rPr>
        <w:t xml:space="preserve"> </w:t>
      </w:r>
    </w:p>
    <w:p w:rsidR="00151379" w:rsidRDefault="00151379" w:rsidP="00151379">
      <w:r>
        <w:t>•</w:t>
      </w:r>
      <w:r>
        <w:tab/>
        <w:t xml:space="preserve">Thesis writing circle (DSL) </w:t>
      </w:r>
    </w:p>
    <w:p w:rsidR="00FD5075" w:rsidRPr="00FD5075" w:rsidRDefault="00151379" w:rsidP="00FD5075">
      <w:pPr>
        <w:spacing w:after="0" w:line="240" w:lineRule="auto"/>
        <w:rPr>
          <w:rFonts w:ascii="Calibri" w:eastAsia="Calibri" w:hAnsi="Calibri" w:cs="Calibri"/>
          <w:b/>
          <w:color w:val="1F497D" w:themeColor="text2"/>
        </w:rPr>
      </w:pPr>
      <w:r w:rsidRPr="00FD5075">
        <w:rPr>
          <w:b/>
        </w:rPr>
        <w:t>Academic support</w:t>
      </w:r>
    </w:p>
    <w:p w:rsidR="00E629A5" w:rsidRPr="00350097" w:rsidRDefault="00E629A5" w:rsidP="00E629A5">
      <w:pPr>
        <w:spacing w:after="0" w:line="240" w:lineRule="auto"/>
        <w:rPr>
          <w:rFonts w:ascii="Calibri" w:eastAsia="Calibri" w:hAnsi="Calibri" w:cs="Calibri"/>
          <w:color w:val="1F497D" w:themeColor="text2"/>
        </w:rPr>
      </w:pPr>
      <w:r>
        <w:t xml:space="preserve">Standard </w:t>
      </w:r>
      <w:r w:rsidR="00151379">
        <w:t>forms of support are provided for HDR candidates</w:t>
      </w:r>
      <w: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r>
      <w:proofErr w:type="gramStart"/>
      <w:r>
        <w:t>workspace</w:t>
      </w:r>
      <w:proofErr w:type="gramEnd"/>
      <w:r>
        <w:t xml:space="preserve"> and work station; </w:t>
      </w:r>
    </w:p>
    <w:p w:rsidR="00E629A5" w:rsidRPr="00350097" w:rsidRDefault="00151379" w:rsidP="00E629A5">
      <w:pPr>
        <w:spacing w:after="0" w:line="240" w:lineRule="auto"/>
        <w:rPr>
          <w:rFonts w:ascii="Calibri" w:eastAsia="Calibri" w:hAnsi="Calibri" w:cs="Calibri"/>
          <w:color w:val="1F497D" w:themeColor="text2"/>
        </w:rPr>
      </w:pPr>
      <w:r>
        <w:t>•</w:t>
      </w:r>
      <w:r>
        <w:tab/>
      </w:r>
      <w:proofErr w:type="gramStart"/>
      <w:r>
        <w:t>school</w:t>
      </w:r>
      <w:proofErr w:type="gramEnd"/>
      <w:r>
        <w:t xml:space="preserve"> or program-specific induction; </w:t>
      </w:r>
    </w:p>
    <w:p w:rsidR="00E629A5" w:rsidRPr="00350097" w:rsidRDefault="00151379" w:rsidP="00E629A5">
      <w:pPr>
        <w:spacing w:after="0" w:line="240" w:lineRule="auto"/>
        <w:rPr>
          <w:rFonts w:ascii="Calibri" w:eastAsia="Calibri" w:hAnsi="Calibri" w:cs="Calibri"/>
          <w:color w:val="1F497D" w:themeColor="text2"/>
        </w:rPr>
      </w:pPr>
      <w:r>
        <w:t>•</w:t>
      </w:r>
      <w:r>
        <w:tab/>
      </w:r>
      <w:proofErr w:type="gramStart"/>
      <w:r>
        <w:t>research</w:t>
      </w:r>
      <w:proofErr w:type="gramEnd"/>
      <w:r>
        <w:t xml:space="preserve"> equipment, facility, materials;</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r>
      <w:proofErr w:type="gramStart"/>
      <w:r>
        <w:t>technical</w:t>
      </w:r>
      <w:proofErr w:type="gramEnd"/>
      <w:r>
        <w:t xml:space="preserve"> support such as lab technician and/or statistician (as examples); </w:t>
      </w:r>
    </w:p>
    <w:p w:rsidR="00E629A5" w:rsidRPr="00350097" w:rsidRDefault="00151379" w:rsidP="00E629A5">
      <w:pPr>
        <w:spacing w:after="0" w:line="240" w:lineRule="auto"/>
        <w:rPr>
          <w:rFonts w:ascii="Calibri" w:eastAsia="Calibri" w:hAnsi="Calibri" w:cs="Calibri"/>
          <w:color w:val="1F497D" w:themeColor="text2"/>
        </w:rPr>
      </w:pPr>
      <w:r>
        <w:t>•</w:t>
      </w:r>
      <w:r>
        <w:tab/>
      </w:r>
      <w:proofErr w:type="gramStart"/>
      <w:r>
        <w:t>administrative</w:t>
      </w:r>
      <w:proofErr w:type="gramEnd"/>
      <w:r>
        <w:t xml:space="preserve"> and sometimes pastoral support and advice; </w:t>
      </w:r>
    </w:p>
    <w:p w:rsidR="00E629A5" w:rsidRPr="00350097" w:rsidRDefault="00151379" w:rsidP="00E629A5">
      <w:pPr>
        <w:spacing w:after="0" w:line="240" w:lineRule="auto"/>
        <w:rPr>
          <w:rFonts w:ascii="Calibri" w:eastAsia="Calibri" w:hAnsi="Calibri" w:cs="Calibri"/>
          <w:color w:val="1F497D" w:themeColor="text2"/>
        </w:rPr>
      </w:pPr>
      <w:r>
        <w:t>•</w:t>
      </w:r>
      <w:r>
        <w:tab/>
      </w:r>
      <w:proofErr w:type="gramStart"/>
      <w:r>
        <w:t>some</w:t>
      </w:r>
      <w:proofErr w:type="gramEnd"/>
      <w:r>
        <w:t xml:space="preserve"> funding for the thesis project; </w:t>
      </w:r>
    </w:p>
    <w:p w:rsidR="00E629A5" w:rsidRPr="00350097" w:rsidRDefault="00151379" w:rsidP="00E629A5">
      <w:pPr>
        <w:spacing w:after="0" w:line="240" w:lineRule="auto"/>
        <w:rPr>
          <w:rFonts w:ascii="Calibri" w:eastAsia="Calibri" w:hAnsi="Calibri" w:cs="Calibri"/>
          <w:color w:val="1F497D" w:themeColor="text2"/>
        </w:rPr>
      </w:pPr>
      <w:r>
        <w:t>•</w:t>
      </w:r>
      <w:r>
        <w:tab/>
      </w:r>
      <w:proofErr w:type="gramStart"/>
      <w:r>
        <w:t>conference</w:t>
      </w:r>
      <w:proofErr w:type="gramEnd"/>
      <w:r>
        <w:t xml:space="preserve"> support; and</w:t>
      </w:r>
    </w:p>
    <w:p w:rsidR="00E629A5" w:rsidRPr="00350097" w:rsidRDefault="00151379" w:rsidP="00E629A5">
      <w:pPr>
        <w:spacing w:after="0" w:line="240" w:lineRule="auto"/>
        <w:rPr>
          <w:rFonts w:ascii="Calibri" w:eastAsia="Calibri" w:hAnsi="Calibri" w:cs="Calibri"/>
          <w:color w:val="1F497D" w:themeColor="text2"/>
        </w:rPr>
      </w:pPr>
      <w:r>
        <w:t>•</w:t>
      </w:r>
      <w:r>
        <w:tab/>
      </w:r>
      <w:proofErr w:type="gramStart"/>
      <w:r>
        <w:t>employment</w:t>
      </w:r>
      <w:proofErr w:type="gramEnd"/>
      <w:r>
        <w:t xml:space="preserve"> opportunities (teaching or research assistance). </w:t>
      </w:r>
    </w:p>
    <w:p w:rsidR="00E629A5" w:rsidRDefault="00E629A5" w:rsidP="00E629A5">
      <w:pPr>
        <w:spacing w:after="0" w:line="240" w:lineRule="auto"/>
      </w:pPr>
      <w:r>
        <w:t>T</w:t>
      </w:r>
      <w:r w:rsidR="00151379">
        <w:t xml:space="preserve">he main source of support is through supervision. The supervisory team, particularly the principal supervisor, provides direction and advice to the thesis project as well as professional career development advice. Supervisors also often assist with conference and funding applications. Importantly, local support also includes the (sometimes intangible) provision of a stimulating research environment, including seminars, colloquia, research visits, discussion groups, etc.  </w:t>
      </w:r>
    </w:p>
    <w:p w:rsidR="00E629A5" w:rsidRPr="00350097" w:rsidRDefault="00E629A5" w:rsidP="00E629A5">
      <w:pPr>
        <w:spacing w:after="0" w:line="240" w:lineRule="auto"/>
        <w:rPr>
          <w:rFonts w:ascii="Calibri" w:eastAsia="Calibri" w:hAnsi="Calibri" w:cs="Calibri"/>
          <w:color w:val="1F497D" w:themeColor="text2"/>
        </w:rPr>
      </w:pPr>
    </w:p>
    <w:p w:rsidR="00E629A5" w:rsidRPr="00350097" w:rsidRDefault="00151379" w:rsidP="00E629A5">
      <w:pPr>
        <w:spacing w:after="0" w:line="240" w:lineRule="auto"/>
        <w:rPr>
          <w:rFonts w:ascii="Calibri" w:eastAsia="Calibri" w:hAnsi="Calibri" w:cs="Calibri"/>
          <w:color w:val="1F497D" w:themeColor="text2"/>
        </w:rPr>
      </w:pPr>
      <w:r w:rsidRPr="00E629A5">
        <w:rPr>
          <w:b/>
        </w:rPr>
        <w:t>Scholarships, awards and employment opportunities</w:t>
      </w:r>
    </w:p>
    <w:p w:rsidR="00E629A5" w:rsidRDefault="00151379" w:rsidP="00E629A5">
      <w:pPr>
        <w:spacing w:after="0" w:line="240" w:lineRule="auto"/>
        <w:rPr>
          <w:rFonts w:ascii="Calibri" w:eastAsia="Calibri" w:hAnsi="Calibri" w:cs="Calibri"/>
          <w:color w:val="1F497D" w:themeColor="text2"/>
        </w:rPr>
      </w:pPr>
      <w:r>
        <w:t>In addition to the scholarships and awards that are available from or with the assistance of Deakin Research, each faculty has its own array of scholarships which are available from various government, industry, and philanthropic organisations.</w:t>
      </w:r>
      <w:r w:rsidR="00E629A5" w:rsidRPr="00E629A5">
        <w:rPr>
          <w:rFonts w:ascii="Calibri" w:eastAsia="Calibri" w:hAnsi="Calibri" w:cs="Calibri"/>
          <w:color w:val="1F497D" w:themeColor="text2"/>
        </w:rPr>
        <w:t xml:space="preserve"> </w:t>
      </w:r>
    </w:p>
    <w:p w:rsidR="00FD5075" w:rsidRDefault="00FD5075" w:rsidP="00E629A5">
      <w:pPr>
        <w:spacing w:after="0" w:line="240" w:lineRule="auto"/>
        <w:rPr>
          <w:b/>
        </w:rPr>
      </w:pPr>
    </w:p>
    <w:p w:rsidR="00E629A5" w:rsidRPr="00E629A5" w:rsidRDefault="00151379" w:rsidP="00E629A5">
      <w:pPr>
        <w:spacing w:after="0" w:line="240" w:lineRule="auto"/>
        <w:rPr>
          <w:rFonts w:ascii="Calibri" w:eastAsia="Calibri" w:hAnsi="Calibri" w:cs="Calibri"/>
          <w:b/>
          <w:color w:val="1F497D" w:themeColor="text2"/>
        </w:rPr>
      </w:pPr>
      <w:r w:rsidRPr="00E629A5">
        <w:rPr>
          <w:b/>
        </w:rPr>
        <w:t>Deakin University Library</w:t>
      </w:r>
    </w:p>
    <w:p w:rsidR="00E629A5" w:rsidRPr="00350097" w:rsidRDefault="00151379" w:rsidP="00E629A5">
      <w:pPr>
        <w:spacing w:after="0" w:line="240" w:lineRule="auto"/>
        <w:rPr>
          <w:rFonts w:ascii="Calibri" w:eastAsia="Calibri" w:hAnsi="Calibri" w:cs="Calibri"/>
          <w:color w:val="1F497D" w:themeColor="text2"/>
        </w:rPr>
      </w:pPr>
      <w:r>
        <w:t xml:space="preserve">The Library meets the high level disciplinary demands and research skill needs of higher degree candidates through an extensive program, utilising library expertise in scholarly communication, publishing and open access; information discovery and </w:t>
      </w:r>
      <w:proofErr w:type="spellStart"/>
      <w:r>
        <w:t>curation</w:t>
      </w:r>
      <w:proofErr w:type="spellEnd"/>
      <w:r>
        <w:t>. The program includes:</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r>
      <w:proofErr w:type="gramStart"/>
      <w:r>
        <w:t>a</w:t>
      </w:r>
      <w:proofErr w:type="gramEnd"/>
      <w:r>
        <w:t xml:space="preserve"> series of workshops run as part of an integrated annual program with the Institute of Research Training</w:t>
      </w:r>
    </w:p>
    <w:p w:rsidR="00E629A5" w:rsidRPr="00350097" w:rsidRDefault="00151379" w:rsidP="00E629A5">
      <w:pPr>
        <w:spacing w:after="0" w:line="240" w:lineRule="auto"/>
        <w:rPr>
          <w:rFonts w:ascii="Calibri" w:eastAsia="Calibri" w:hAnsi="Calibri" w:cs="Calibri"/>
          <w:color w:val="1F497D" w:themeColor="text2"/>
        </w:rPr>
      </w:pPr>
      <w:r>
        <w:t>•</w:t>
      </w:r>
      <w:r>
        <w:tab/>
      </w:r>
      <w:proofErr w:type="gramStart"/>
      <w:r>
        <w:t>personalised</w:t>
      </w:r>
      <w:proofErr w:type="gramEnd"/>
      <w:r>
        <w:t xml:space="preserve"> assistance from specialist Liaison or Research Librarians who guide students to develop systematic approaches to information discovery, management and dissemination</w:t>
      </w:r>
    </w:p>
    <w:p w:rsidR="00E629A5" w:rsidRDefault="00151379" w:rsidP="00E629A5">
      <w:pPr>
        <w:spacing w:after="0" w:line="240" w:lineRule="auto"/>
        <w:rPr>
          <w:rFonts w:ascii="Calibri" w:eastAsia="Calibri" w:hAnsi="Calibri" w:cs="Calibri"/>
          <w:color w:val="1F497D" w:themeColor="text2"/>
        </w:rPr>
      </w:pPr>
      <w:r>
        <w:t>•</w:t>
      </w:r>
      <w:r>
        <w:tab/>
      </w:r>
      <w:proofErr w:type="gramStart"/>
      <w:r>
        <w:t>information</w:t>
      </w:r>
      <w:proofErr w:type="gramEnd"/>
      <w:r>
        <w:t xml:space="preserve"> sessions and workshops on scholarly research and communication, contextualised within disciplinary practices, as requested by Faculties and Research Centres.</w:t>
      </w:r>
      <w:r w:rsidR="00E629A5" w:rsidRPr="00E629A5">
        <w:rPr>
          <w:rFonts w:ascii="Calibri" w:eastAsia="Calibri" w:hAnsi="Calibri" w:cs="Calibri"/>
          <w:color w:val="1F497D" w:themeColor="text2"/>
        </w:rPr>
        <w:t xml:space="preserve"> </w:t>
      </w:r>
    </w:p>
    <w:p w:rsidR="00E629A5" w:rsidRPr="00350097" w:rsidRDefault="00E629A5" w:rsidP="00E629A5">
      <w:pPr>
        <w:spacing w:after="0" w:line="240" w:lineRule="auto"/>
        <w:rPr>
          <w:rFonts w:ascii="Calibri" w:eastAsia="Calibri" w:hAnsi="Calibri" w:cs="Calibri"/>
          <w:color w:val="1F497D" w:themeColor="text2"/>
        </w:rPr>
      </w:pPr>
    </w:p>
    <w:p w:rsidR="00E629A5" w:rsidRPr="00350097" w:rsidRDefault="00151379" w:rsidP="00E629A5">
      <w:pPr>
        <w:spacing w:after="0" w:line="240" w:lineRule="auto"/>
        <w:rPr>
          <w:rFonts w:ascii="Calibri" w:eastAsia="Calibri" w:hAnsi="Calibri" w:cs="Calibri"/>
          <w:color w:val="1F497D" w:themeColor="text2"/>
        </w:rPr>
      </w:pPr>
      <w:r w:rsidRPr="00E629A5">
        <w:rPr>
          <w:b/>
        </w:rPr>
        <w:t>GENERIC SUPPORT SERVICES</w:t>
      </w:r>
    </w:p>
    <w:p w:rsidR="00E629A5" w:rsidRPr="00FD5075" w:rsidRDefault="00151379" w:rsidP="00E629A5">
      <w:pPr>
        <w:spacing w:after="0" w:line="240" w:lineRule="auto"/>
        <w:rPr>
          <w:rFonts w:ascii="Calibri" w:eastAsia="Calibri" w:hAnsi="Calibri" w:cs="Calibri"/>
          <w:b/>
          <w:color w:val="1F497D" w:themeColor="text2"/>
        </w:rPr>
      </w:pPr>
      <w:r w:rsidRPr="00FD5075">
        <w:rPr>
          <w:b/>
        </w:rPr>
        <w:t>Deakin eSolutions</w:t>
      </w:r>
    </w:p>
    <w:p w:rsidR="00E629A5" w:rsidRPr="00350097" w:rsidRDefault="00151379" w:rsidP="00E629A5">
      <w:pPr>
        <w:spacing w:after="0" w:line="240" w:lineRule="auto"/>
        <w:rPr>
          <w:rFonts w:ascii="Calibri" w:eastAsia="Calibri" w:hAnsi="Calibri" w:cs="Calibri"/>
          <w:color w:val="1F497D" w:themeColor="text2"/>
        </w:rPr>
      </w:pPr>
      <w:r>
        <w:t>Deakin eSolutions (</w:t>
      </w:r>
      <w:proofErr w:type="spellStart"/>
      <w:r>
        <w:t>DeS</w:t>
      </w:r>
      <w:proofErr w:type="spellEnd"/>
      <w:r>
        <w:t xml:space="preserve">) provides core information and communication technology (ICT) services and support to the Deakin University Community. The ‘HDR top tips’ webpage provides useful IT information for HDR students. Direct IT assistance is also provided by </w:t>
      </w:r>
      <w:proofErr w:type="spellStart"/>
      <w:r>
        <w:t>DeS</w:t>
      </w:r>
      <w:proofErr w:type="spellEnd"/>
      <w:r>
        <w:t>.</w:t>
      </w:r>
      <w:r w:rsidR="00E629A5" w:rsidRPr="00E629A5">
        <w:rPr>
          <w:rFonts w:ascii="Calibri" w:eastAsia="Calibri" w:hAnsi="Calibri" w:cs="Calibri"/>
          <w:color w:val="1F497D" w:themeColor="text2"/>
        </w:rPr>
        <w:t xml:space="preserve"> </w:t>
      </w:r>
    </w:p>
    <w:p w:rsidR="00FD5075" w:rsidRDefault="00FD5075" w:rsidP="00FD5075">
      <w:pPr>
        <w:spacing w:after="0" w:line="240" w:lineRule="auto"/>
        <w:rPr>
          <w:b/>
        </w:rPr>
      </w:pPr>
    </w:p>
    <w:p w:rsidR="00FD5075" w:rsidRPr="00350097" w:rsidRDefault="00151379" w:rsidP="00FD5075">
      <w:pPr>
        <w:spacing w:after="0" w:line="240" w:lineRule="auto"/>
        <w:rPr>
          <w:rFonts w:ascii="Calibri" w:eastAsia="Calibri" w:hAnsi="Calibri" w:cs="Calibri"/>
          <w:color w:val="1F497D" w:themeColor="text2"/>
        </w:rPr>
      </w:pPr>
      <w:r w:rsidRPr="00E629A5">
        <w:rPr>
          <w:b/>
        </w:rPr>
        <w:t xml:space="preserve">Division of Student Life </w:t>
      </w:r>
    </w:p>
    <w:p w:rsidR="00E629A5" w:rsidRPr="00350097" w:rsidRDefault="00151379" w:rsidP="00E629A5">
      <w:pPr>
        <w:spacing w:after="0" w:line="240" w:lineRule="auto"/>
        <w:rPr>
          <w:rFonts w:ascii="Calibri" w:eastAsia="Calibri" w:hAnsi="Calibri" w:cs="Calibri"/>
          <w:color w:val="1F497D" w:themeColor="text2"/>
        </w:rPr>
      </w:pPr>
      <w:r>
        <w:t>The Division of Student Life (DSL) supports students in a number of ways, including:</w:t>
      </w:r>
      <w:r w:rsidR="00E629A5" w:rsidRPr="00E629A5">
        <w:rPr>
          <w:rFonts w:ascii="Calibri" w:eastAsia="Calibri" w:hAnsi="Calibri" w:cs="Calibri"/>
          <w:color w:val="1F497D" w:themeColor="text2"/>
        </w:rPr>
        <w:t xml:space="preserve"> </w:t>
      </w:r>
    </w:p>
    <w:p w:rsidR="00E629A5" w:rsidRPr="00350097" w:rsidRDefault="00151379" w:rsidP="00E629A5">
      <w:pPr>
        <w:spacing w:after="0" w:line="240" w:lineRule="auto"/>
        <w:rPr>
          <w:rFonts w:ascii="Calibri" w:eastAsia="Calibri" w:hAnsi="Calibri" w:cs="Calibri"/>
          <w:color w:val="1F497D" w:themeColor="text2"/>
        </w:rPr>
      </w:pPr>
      <w:r>
        <w:t>•</w:t>
      </w:r>
      <w:r>
        <w:tab/>
      </w:r>
      <w:proofErr w:type="gramStart"/>
      <w:r>
        <w:t>writing</w:t>
      </w:r>
      <w:proofErr w:type="gramEnd"/>
      <w:r>
        <w:t xml:space="preserve"> in English</w:t>
      </w:r>
    </w:p>
    <w:p w:rsidR="00E629A5" w:rsidRPr="00350097" w:rsidRDefault="00151379" w:rsidP="00E629A5">
      <w:pPr>
        <w:spacing w:after="0" w:line="240" w:lineRule="auto"/>
        <w:rPr>
          <w:rFonts w:ascii="Calibri" w:eastAsia="Calibri" w:hAnsi="Calibri" w:cs="Calibri"/>
          <w:color w:val="1F497D" w:themeColor="text2"/>
        </w:rPr>
      </w:pPr>
      <w:r>
        <w:t>•</w:t>
      </w:r>
      <w:r>
        <w:tab/>
        <w:t>study support</w:t>
      </w:r>
    </w:p>
    <w:p w:rsidR="00E629A5" w:rsidRPr="00350097" w:rsidRDefault="00151379" w:rsidP="00E629A5">
      <w:pPr>
        <w:spacing w:after="0" w:line="240" w:lineRule="auto"/>
        <w:rPr>
          <w:rFonts w:ascii="Calibri" w:eastAsia="Calibri" w:hAnsi="Calibri" w:cs="Calibri"/>
          <w:color w:val="1F497D" w:themeColor="text2"/>
        </w:rPr>
      </w:pPr>
      <w:r>
        <w:t>•</w:t>
      </w:r>
      <w:r>
        <w:tab/>
      </w:r>
      <w:proofErr w:type="gramStart"/>
      <w:r>
        <w:t>career</w:t>
      </w:r>
      <w:proofErr w:type="gramEnd"/>
      <w:r>
        <w:t xml:space="preserve"> support</w:t>
      </w:r>
    </w:p>
    <w:p w:rsidR="00E629A5" w:rsidRPr="00350097" w:rsidRDefault="00151379" w:rsidP="00E629A5">
      <w:pPr>
        <w:spacing w:after="0" w:line="240" w:lineRule="auto"/>
        <w:rPr>
          <w:rFonts w:ascii="Calibri" w:eastAsia="Calibri" w:hAnsi="Calibri" w:cs="Calibri"/>
          <w:color w:val="1F497D" w:themeColor="text2"/>
        </w:rPr>
      </w:pPr>
      <w:r>
        <w:t>•</w:t>
      </w:r>
      <w:r>
        <w:tab/>
      </w:r>
      <w:proofErr w:type="spellStart"/>
      <w:proofErr w:type="gramStart"/>
      <w:r>
        <w:t>counseling</w:t>
      </w:r>
      <w:proofErr w:type="spellEnd"/>
      <w:proofErr w:type="gramEnd"/>
      <w:r>
        <w:t xml:space="preserve"> and personal support</w:t>
      </w:r>
    </w:p>
    <w:p w:rsidR="00E629A5" w:rsidRPr="00350097" w:rsidRDefault="00151379" w:rsidP="00E629A5">
      <w:pPr>
        <w:spacing w:after="0" w:line="240" w:lineRule="auto"/>
        <w:rPr>
          <w:rFonts w:ascii="Calibri" w:eastAsia="Calibri" w:hAnsi="Calibri" w:cs="Calibri"/>
          <w:color w:val="1F497D" w:themeColor="text2"/>
        </w:rPr>
      </w:pPr>
      <w:r>
        <w:t>•</w:t>
      </w:r>
      <w:r>
        <w:tab/>
      </w:r>
      <w:proofErr w:type="gramStart"/>
      <w:r>
        <w:t>medical</w:t>
      </w:r>
      <w:proofErr w:type="gramEnd"/>
      <w:r>
        <w:t xml:space="preserve"> services</w:t>
      </w:r>
    </w:p>
    <w:p w:rsidR="00FD5075" w:rsidRPr="00350097" w:rsidRDefault="00151379" w:rsidP="00FD5075">
      <w:pPr>
        <w:spacing w:after="0" w:line="240" w:lineRule="auto"/>
        <w:rPr>
          <w:rFonts w:ascii="Calibri" w:eastAsia="Calibri" w:hAnsi="Calibri" w:cs="Calibri"/>
          <w:color w:val="1F497D" w:themeColor="text2"/>
        </w:rPr>
      </w:pPr>
      <w:r>
        <w:t>•</w:t>
      </w:r>
      <w:r>
        <w:tab/>
      </w:r>
      <w:proofErr w:type="gramStart"/>
      <w:r>
        <w:t>financial</w:t>
      </w:r>
      <w:proofErr w:type="gramEnd"/>
      <w:r>
        <w:t xml:space="preserve"> support</w:t>
      </w:r>
    </w:p>
    <w:p w:rsidR="00FD5075" w:rsidRPr="00350097" w:rsidRDefault="00151379" w:rsidP="00FD5075">
      <w:pPr>
        <w:spacing w:after="0" w:line="240" w:lineRule="auto"/>
        <w:rPr>
          <w:rFonts w:ascii="Calibri" w:eastAsia="Calibri" w:hAnsi="Calibri" w:cs="Calibri"/>
          <w:color w:val="1F497D" w:themeColor="text2"/>
        </w:rPr>
      </w:pPr>
      <w:r>
        <w:t>•</w:t>
      </w:r>
      <w:r>
        <w:tab/>
      </w:r>
      <w:proofErr w:type="gramStart"/>
      <w:r>
        <w:t>religious</w:t>
      </w:r>
      <w:proofErr w:type="gramEnd"/>
      <w:r>
        <w:t xml:space="preserve"> services</w:t>
      </w:r>
    </w:p>
    <w:p w:rsidR="00FD5075" w:rsidRPr="00350097" w:rsidRDefault="00151379" w:rsidP="00FD5075">
      <w:pPr>
        <w:spacing w:after="0" w:line="240" w:lineRule="auto"/>
        <w:rPr>
          <w:rFonts w:ascii="Calibri" w:eastAsia="Calibri" w:hAnsi="Calibri" w:cs="Calibri"/>
          <w:color w:val="1F497D" w:themeColor="text2"/>
        </w:rPr>
      </w:pPr>
      <w:r>
        <w:t>•</w:t>
      </w:r>
      <w:r>
        <w:tab/>
      </w:r>
      <w:proofErr w:type="gramStart"/>
      <w:r>
        <w:t>disability</w:t>
      </w:r>
      <w:proofErr w:type="gramEnd"/>
      <w:r>
        <w:t xml:space="preserve"> support</w:t>
      </w:r>
    </w:p>
    <w:p w:rsidR="00151379" w:rsidRPr="00FD5075" w:rsidRDefault="00151379" w:rsidP="00FD5075">
      <w:pPr>
        <w:spacing w:after="0" w:line="240" w:lineRule="auto"/>
        <w:rPr>
          <w:rFonts w:ascii="Calibri" w:eastAsia="Calibri" w:hAnsi="Calibri" w:cs="Calibri"/>
          <w:color w:val="1F497D" w:themeColor="text2"/>
        </w:rPr>
      </w:pPr>
      <w:r>
        <w:t>•</w:t>
      </w:r>
      <w:r>
        <w:tab/>
      </w:r>
      <w:proofErr w:type="gramStart"/>
      <w:r>
        <w:t>student</w:t>
      </w:r>
      <w:proofErr w:type="gramEnd"/>
      <w:r>
        <w:t xml:space="preserve"> equity.</w:t>
      </w:r>
      <w:r w:rsidR="00FD5075" w:rsidRPr="00FD5075">
        <w:rPr>
          <w:rFonts w:ascii="Calibri" w:eastAsia="Calibri" w:hAnsi="Calibri" w:cs="Calibri"/>
          <w:color w:val="1F497D" w:themeColor="text2"/>
        </w:rPr>
        <w:t xml:space="preserve"> </w:t>
      </w:r>
    </w:p>
    <w:p w:rsidR="00FD5075" w:rsidRPr="00350097" w:rsidRDefault="00151379" w:rsidP="00FD5075">
      <w:pPr>
        <w:spacing w:after="0" w:line="240" w:lineRule="auto"/>
        <w:rPr>
          <w:rFonts w:ascii="Calibri" w:eastAsia="Calibri" w:hAnsi="Calibri" w:cs="Calibri"/>
          <w:color w:val="1F497D" w:themeColor="text2"/>
        </w:rPr>
      </w:pPr>
      <w:r w:rsidRPr="00FD5075">
        <w:rPr>
          <w:b/>
        </w:rPr>
        <w:t xml:space="preserve">Equity and Diversity Unit </w:t>
      </w:r>
    </w:p>
    <w:p w:rsidR="00FD5075" w:rsidRPr="00350097" w:rsidRDefault="00151379" w:rsidP="00FD5075">
      <w:pPr>
        <w:spacing w:after="0" w:line="240" w:lineRule="auto"/>
        <w:rPr>
          <w:rFonts w:ascii="Calibri" w:eastAsia="Calibri" w:hAnsi="Calibri" w:cs="Calibri"/>
          <w:color w:val="1F497D" w:themeColor="text2"/>
        </w:rPr>
      </w:pPr>
      <w:r>
        <w:t>Staff in the Equity and Diversity Unit can provide advice and information about concerns relating to equity, and resolving complaints about discrimination, harassment and bullying.</w:t>
      </w:r>
      <w:r w:rsidR="00FD5075" w:rsidRPr="00FD5075">
        <w:rPr>
          <w:rFonts w:ascii="Calibri" w:eastAsia="Calibri" w:hAnsi="Calibri" w:cs="Calibri"/>
          <w:color w:val="1F497D" w:themeColor="text2"/>
        </w:rPr>
        <w:t xml:space="preserve"> </w:t>
      </w:r>
    </w:p>
    <w:p w:rsidR="00FD5075" w:rsidRPr="00FD5075" w:rsidRDefault="00151379" w:rsidP="00FD5075">
      <w:pPr>
        <w:spacing w:after="0" w:line="240" w:lineRule="auto"/>
        <w:rPr>
          <w:rFonts w:ascii="Calibri" w:eastAsia="Calibri" w:hAnsi="Calibri" w:cs="Calibri"/>
          <w:b/>
          <w:color w:val="1F497D" w:themeColor="text2"/>
        </w:rPr>
      </w:pPr>
      <w:r w:rsidRPr="00FD5075">
        <w:rPr>
          <w:b/>
        </w:rPr>
        <w:t xml:space="preserve">Division of Student Administration </w:t>
      </w:r>
    </w:p>
    <w:p w:rsidR="00FD5075" w:rsidRDefault="00151379" w:rsidP="00FD5075">
      <w:pPr>
        <w:spacing w:after="0" w:line="240" w:lineRule="auto"/>
      </w:pPr>
      <w:r>
        <w:t xml:space="preserve">The Division of Student Administration is the central administrative division of the University, with responsibility for admissions, enrolments and records, fees, assessments, graduations, and customer service. </w:t>
      </w:r>
    </w:p>
    <w:p w:rsidR="00FD5075" w:rsidRPr="00350097" w:rsidRDefault="00FD5075" w:rsidP="00FD5075">
      <w:pPr>
        <w:spacing w:after="0" w:line="240" w:lineRule="auto"/>
        <w:rPr>
          <w:rFonts w:ascii="Calibri" w:eastAsia="Calibri" w:hAnsi="Calibri" w:cs="Calibri"/>
          <w:color w:val="1F497D" w:themeColor="text2"/>
        </w:rPr>
      </w:pPr>
    </w:p>
    <w:p w:rsidR="00B965D3" w:rsidRDefault="00B965D3" w:rsidP="00B965D3">
      <w:pPr>
        <w:pStyle w:val="BodyText"/>
        <w:jc w:val="center"/>
        <w:rPr>
          <w:b/>
          <w:color w:val="C00000"/>
          <w:sz w:val="36"/>
          <w:szCs w:val="36"/>
          <w:lang w:val="en-US"/>
        </w:rPr>
      </w:pPr>
      <w:r w:rsidRPr="00063BED">
        <w:rPr>
          <w:b/>
          <w:color w:val="C00000"/>
          <w:sz w:val="36"/>
          <w:szCs w:val="36"/>
          <w:lang w:val="en-US"/>
        </w:rPr>
        <w:t>FUNDING OPPORTUNITIES</w:t>
      </w:r>
    </w:p>
    <w:p w:rsidR="00B965D3" w:rsidRPr="00350097" w:rsidRDefault="00B965D3" w:rsidP="00B965D3">
      <w:pPr>
        <w:spacing w:after="0" w:line="240" w:lineRule="auto"/>
        <w:rPr>
          <w:rFonts w:ascii="Calibri" w:eastAsia="Calibri" w:hAnsi="Calibri" w:cs="Calibri"/>
          <w:color w:val="1F497D" w:themeColor="text2"/>
        </w:rPr>
      </w:pPr>
      <w:r w:rsidRPr="00350097">
        <w:rPr>
          <w:rFonts w:ascii="Calibri" w:eastAsia="Calibri" w:hAnsi="Calibri" w:cs="Calibri"/>
          <w:color w:val="1F497D" w:themeColor="text2"/>
        </w:rPr>
        <w:t xml:space="preserve">The Australian Academy of the Humanities is pleased to announce that </w:t>
      </w:r>
      <w:r w:rsidRPr="00350097">
        <w:rPr>
          <w:rFonts w:ascii="Calibri" w:eastAsia="Calibri" w:hAnsi="Calibri" w:cs="Calibri"/>
          <w:color w:val="1F497D" w:themeColor="text2"/>
          <w:u w:val="single"/>
        </w:rPr>
        <w:t>2014 applications</w:t>
      </w:r>
      <w:r w:rsidRPr="00350097">
        <w:rPr>
          <w:rFonts w:ascii="Calibri" w:eastAsia="Calibri" w:hAnsi="Calibri" w:cs="Calibri"/>
          <w:color w:val="1F497D" w:themeColor="text2"/>
        </w:rPr>
        <w:t xml:space="preserve"> for the Academy's award schemes are now open. In particular we wish to draw your attention to a new funding opportunity, the Ernst and Rosemarie Keller Award made possible by the generosity </w:t>
      </w:r>
      <w:proofErr w:type="gramStart"/>
      <w:r w:rsidRPr="00350097">
        <w:rPr>
          <w:rFonts w:ascii="Calibri" w:eastAsia="Calibri" w:hAnsi="Calibri" w:cs="Calibri"/>
          <w:color w:val="1F497D" w:themeColor="text2"/>
        </w:rPr>
        <w:t>of  the</w:t>
      </w:r>
      <w:proofErr w:type="gramEnd"/>
      <w:r w:rsidRPr="00350097">
        <w:rPr>
          <w:rFonts w:ascii="Calibri" w:eastAsia="Calibri" w:hAnsi="Calibri" w:cs="Calibri"/>
          <w:color w:val="1F497D" w:themeColor="text2"/>
        </w:rPr>
        <w:t xml:space="preserve"> late Academy Fellow, Ernst Keller FAHA and Mrs Rosemarie Keller. It would be appreciated if you could forward these details to your colleagues and networks. </w:t>
      </w:r>
    </w:p>
    <w:p w:rsidR="00B965D3" w:rsidRPr="00350097" w:rsidRDefault="00B965D3" w:rsidP="00B965D3">
      <w:pPr>
        <w:spacing w:after="0" w:line="240" w:lineRule="auto"/>
        <w:rPr>
          <w:rFonts w:ascii="Calibri" w:eastAsia="Calibri" w:hAnsi="Calibri" w:cs="Calibri"/>
          <w:color w:val="1F497D" w:themeColor="text2"/>
        </w:rPr>
      </w:pPr>
      <w:r w:rsidRPr="00350097">
        <w:rPr>
          <w:rFonts w:ascii="Calibri" w:eastAsia="Calibri" w:hAnsi="Calibri" w:cs="Calibri"/>
          <w:color w:val="1F497D" w:themeColor="text2"/>
        </w:rPr>
        <w:t> </w:t>
      </w:r>
    </w:p>
    <w:p w:rsidR="00B965D3" w:rsidRPr="00223625" w:rsidRDefault="0059624A" w:rsidP="00B965D3">
      <w:pPr>
        <w:spacing w:after="0" w:line="240" w:lineRule="auto"/>
        <w:ind w:left="720" w:hanging="360"/>
        <w:rPr>
          <w:rFonts w:ascii="Calibri" w:eastAsia="Calibri" w:hAnsi="Calibri" w:cs="Calibri"/>
          <w:color w:val="000000"/>
        </w:rPr>
      </w:pPr>
      <w:hyperlink r:id="rId15" w:history="1">
        <w:r w:rsidR="00B965D3" w:rsidRPr="00223625">
          <w:rPr>
            <w:rFonts w:ascii="Calibri" w:eastAsia="Calibri" w:hAnsi="Calibri" w:cs="Calibri"/>
            <w:color w:val="0000FF"/>
            <w:u w:val="single"/>
          </w:rPr>
          <w:t>Humanities Travelling Fellowships Scheme</w:t>
        </w:r>
      </w:hyperlink>
    </w:p>
    <w:p w:rsidR="00B965D3" w:rsidRPr="00350097" w:rsidRDefault="00B965D3" w:rsidP="00B965D3">
      <w:pPr>
        <w:spacing w:after="0" w:line="240" w:lineRule="auto"/>
        <w:ind w:left="720"/>
        <w:rPr>
          <w:rFonts w:ascii="Calibri" w:eastAsia="Calibri" w:hAnsi="Calibri" w:cs="Calibri"/>
          <w:color w:val="1F497D" w:themeColor="text2"/>
        </w:rPr>
      </w:pPr>
      <w:r w:rsidRPr="00223625">
        <w:rPr>
          <w:rFonts w:ascii="Calibri" w:eastAsia="Calibri" w:hAnsi="Calibri" w:cs="Calibri"/>
          <w:color w:val="000000"/>
        </w:rPr>
        <w:t> </w:t>
      </w:r>
      <w:r w:rsidRPr="00350097">
        <w:rPr>
          <w:rFonts w:ascii="Calibri" w:eastAsia="Calibri" w:hAnsi="Calibri" w:cs="Calibri"/>
          <w:color w:val="1F497D" w:themeColor="text2"/>
        </w:rPr>
        <w:t>The Humanities Travelling Fellowship Scheme offers grants of up to $4000 to support Australian humanities early career researchers to undertake research overseas,</w:t>
      </w:r>
    </w:p>
    <w:p w:rsidR="00B965D3" w:rsidRPr="00350097" w:rsidRDefault="00B965D3" w:rsidP="00B965D3">
      <w:pPr>
        <w:spacing w:after="0" w:line="240" w:lineRule="auto"/>
        <w:ind w:left="720"/>
        <w:rPr>
          <w:rFonts w:ascii="Calibri" w:eastAsia="Calibri" w:hAnsi="Calibri" w:cs="Calibri"/>
          <w:color w:val="1F497D" w:themeColor="text2"/>
        </w:rPr>
      </w:pPr>
      <w:proofErr w:type="gramStart"/>
      <w:r w:rsidRPr="00350097">
        <w:rPr>
          <w:rFonts w:ascii="Calibri" w:eastAsia="Calibri" w:hAnsi="Calibri" w:cs="Calibri"/>
          <w:color w:val="1F497D" w:themeColor="text2"/>
        </w:rPr>
        <w:t>including</w:t>
      </w:r>
      <w:proofErr w:type="gramEnd"/>
      <w:r w:rsidRPr="00350097">
        <w:rPr>
          <w:rFonts w:ascii="Calibri" w:eastAsia="Calibri" w:hAnsi="Calibri" w:cs="Calibri"/>
          <w:color w:val="1F497D" w:themeColor="text2"/>
        </w:rPr>
        <w:t xml:space="preserve"> accessing archives and other research materials and connecting with international researchers and networks.</w:t>
      </w:r>
    </w:p>
    <w:p w:rsidR="00B965D3" w:rsidRPr="00223625" w:rsidRDefault="00B965D3" w:rsidP="00B965D3">
      <w:pPr>
        <w:spacing w:after="0" w:line="240" w:lineRule="auto"/>
        <w:ind w:left="720"/>
        <w:rPr>
          <w:rFonts w:ascii="Calibri" w:eastAsia="Calibri" w:hAnsi="Calibri" w:cs="Calibri"/>
          <w:color w:val="000000"/>
        </w:rPr>
      </w:pPr>
      <w:r w:rsidRPr="00223625">
        <w:rPr>
          <w:rFonts w:ascii="Calibri" w:eastAsia="Calibri" w:hAnsi="Calibri" w:cs="Calibri"/>
          <w:color w:val="000000"/>
        </w:rPr>
        <w:t> </w:t>
      </w:r>
      <w:hyperlink r:id="rId16" w:history="1">
        <w:r w:rsidRPr="00223625">
          <w:rPr>
            <w:rFonts w:ascii="Calibri" w:eastAsia="Calibri" w:hAnsi="Calibri" w:cs="Calibri"/>
            <w:color w:val="0000FF"/>
            <w:u w:val="single"/>
          </w:rPr>
          <w:t>Publication Subsidy Scheme</w:t>
        </w:r>
      </w:hyperlink>
    </w:p>
    <w:p w:rsidR="00B965D3" w:rsidRPr="00350097" w:rsidRDefault="00B965D3" w:rsidP="00B965D3">
      <w:pPr>
        <w:spacing w:after="0" w:line="240" w:lineRule="auto"/>
        <w:ind w:left="720"/>
        <w:rPr>
          <w:rFonts w:ascii="Calibri" w:eastAsia="Calibri" w:hAnsi="Calibri" w:cs="Calibri"/>
          <w:color w:val="1F497D" w:themeColor="text2"/>
        </w:rPr>
      </w:pPr>
      <w:r w:rsidRPr="00223625">
        <w:rPr>
          <w:rFonts w:ascii="Calibri" w:eastAsia="Calibri" w:hAnsi="Calibri" w:cs="Calibri"/>
          <w:color w:val="000000"/>
        </w:rPr>
        <w:t> </w:t>
      </w:r>
      <w:r w:rsidRPr="00350097">
        <w:rPr>
          <w:rFonts w:ascii="Calibri" w:eastAsia="Calibri" w:hAnsi="Calibri" w:cs="Calibri"/>
          <w:color w:val="1F497D" w:themeColor="text2"/>
        </w:rPr>
        <w:t xml:space="preserve">The Publication Subsidy Schemes offers grants of up to $3000 to support the publication of scholarly works of high quality in the Humanities. </w:t>
      </w:r>
    </w:p>
    <w:p w:rsidR="00B965D3" w:rsidRPr="00350097" w:rsidRDefault="00B965D3" w:rsidP="00B965D3">
      <w:pPr>
        <w:spacing w:after="0" w:line="240" w:lineRule="auto"/>
        <w:ind w:left="720"/>
        <w:rPr>
          <w:rFonts w:ascii="Calibri" w:eastAsia="Calibri" w:hAnsi="Calibri" w:cs="Calibri"/>
          <w:color w:val="1F497D" w:themeColor="text2"/>
        </w:rPr>
      </w:pPr>
      <w:r w:rsidRPr="00350097">
        <w:rPr>
          <w:rFonts w:ascii="Calibri" w:eastAsia="Calibri" w:hAnsi="Calibri" w:cs="Calibri"/>
          <w:color w:val="1F497D" w:themeColor="text2"/>
        </w:rPr>
        <w:t>The scheme is designed to assist Humanities scholars based in Australia.  This year, an additional $500 is available to one applicant publishing in the field of archaeology through the Sir Frederick and Peter White Fund. </w:t>
      </w:r>
    </w:p>
    <w:p w:rsidR="00B965D3" w:rsidRPr="00223625" w:rsidRDefault="00B965D3" w:rsidP="00B965D3">
      <w:pPr>
        <w:spacing w:after="0" w:line="240" w:lineRule="auto"/>
        <w:ind w:left="720"/>
        <w:rPr>
          <w:rFonts w:ascii="Calibri" w:eastAsia="Calibri" w:hAnsi="Calibri" w:cs="Calibri"/>
          <w:color w:val="000000"/>
        </w:rPr>
      </w:pPr>
      <w:r w:rsidRPr="00223625">
        <w:rPr>
          <w:rFonts w:ascii="Calibri" w:eastAsia="Calibri" w:hAnsi="Calibri" w:cs="Calibri"/>
          <w:color w:val="000000"/>
        </w:rPr>
        <w:t> </w:t>
      </w:r>
      <w:hyperlink r:id="rId17" w:history="1">
        <w:r w:rsidRPr="00223625">
          <w:rPr>
            <w:rFonts w:ascii="Calibri" w:eastAsia="Calibri" w:hAnsi="Calibri" w:cs="Calibri"/>
            <w:color w:val="0000FF"/>
            <w:u w:val="single"/>
          </w:rPr>
          <w:t>The Ernst and Rosemarie Keller Award</w:t>
        </w:r>
      </w:hyperlink>
    </w:p>
    <w:p w:rsidR="00B965D3" w:rsidRPr="00350097" w:rsidRDefault="00B965D3" w:rsidP="00B965D3">
      <w:pPr>
        <w:spacing w:after="0"/>
        <w:ind w:left="720"/>
        <w:rPr>
          <w:rFonts w:ascii="Calibri" w:eastAsia="Calibri" w:hAnsi="Calibri" w:cs="Calibri"/>
          <w:color w:val="1F497D" w:themeColor="text2"/>
        </w:rPr>
      </w:pPr>
      <w:r w:rsidRPr="00350097">
        <w:rPr>
          <w:rFonts w:ascii="Calibri" w:eastAsia="Calibri" w:hAnsi="Calibri" w:cs="Calibri"/>
          <w:color w:val="1F497D" w:themeColor="text2"/>
        </w:rPr>
        <w:t xml:space="preserve">The </w:t>
      </w:r>
      <w:r w:rsidRPr="00350097">
        <w:rPr>
          <w:rFonts w:ascii="Calibri" w:eastAsia="Calibri" w:hAnsi="Calibri" w:cs="Calibri"/>
          <w:i/>
          <w:iCs/>
          <w:color w:val="1F497D" w:themeColor="text2"/>
        </w:rPr>
        <w:t>new</w:t>
      </w:r>
      <w:r w:rsidRPr="00350097">
        <w:rPr>
          <w:rFonts w:ascii="Calibri" w:eastAsia="Calibri" w:hAnsi="Calibri" w:cs="Calibri"/>
          <w:color w:val="1F497D" w:themeColor="text2"/>
        </w:rPr>
        <w:t xml:space="preserve"> Ernst and Rosemarie Keller Award supports the research activities of Australian humanities scholars whose research is concerned with:</w:t>
      </w:r>
    </w:p>
    <w:p w:rsidR="00B965D3" w:rsidRPr="00350097" w:rsidRDefault="00B965D3" w:rsidP="00B965D3">
      <w:pPr>
        <w:spacing w:after="0"/>
        <w:ind w:left="1440" w:hanging="360"/>
        <w:rPr>
          <w:rFonts w:ascii="Calibri" w:eastAsia="Calibri" w:hAnsi="Calibri" w:cs="Calibri"/>
          <w:color w:val="1F497D" w:themeColor="text2"/>
        </w:rPr>
      </w:pPr>
      <w:r w:rsidRPr="00350097">
        <w:rPr>
          <w:rFonts w:ascii="Calibri" w:eastAsia="Calibri" w:hAnsi="Calibri" w:cs="Calibri"/>
          <w:color w:val="1F497D" w:themeColor="text2"/>
        </w:rPr>
        <w:t>German history, literature, language, politics or culture, or</w:t>
      </w:r>
    </w:p>
    <w:p w:rsidR="00B965D3" w:rsidRPr="00350097" w:rsidRDefault="00B965D3" w:rsidP="00B965D3">
      <w:pPr>
        <w:spacing w:after="0"/>
        <w:ind w:left="1440" w:hanging="360"/>
        <w:rPr>
          <w:rFonts w:ascii="Calibri" w:eastAsia="Calibri" w:hAnsi="Calibri" w:cs="Calibri"/>
          <w:color w:val="1F497D" w:themeColor="text2"/>
        </w:rPr>
      </w:pPr>
      <w:proofErr w:type="gramStart"/>
      <w:r w:rsidRPr="00350097">
        <w:rPr>
          <w:rFonts w:ascii="Calibri" w:eastAsia="Calibri" w:hAnsi="Calibri" w:cs="Calibri"/>
          <w:color w:val="1F497D" w:themeColor="text2"/>
        </w:rPr>
        <w:t>German contributions to the history, literature, languages, politics or culture of either Australia or the Asia-Pacific region.</w:t>
      </w:r>
      <w:proofErr w:type="gramEnd"/>
      <w:r w:rsidRPr="00350097">
        <w:rPr>
          <w:rFonts w:ascii="Calibri" w:eastAsia="Calibri" w:hAnsi="Calibri" w:cs="Calibri"/>
          <w:color w:val="1F497D" w:themeColor="text2"/>
        </w:rPr>
        <w:t xml:space="preserve">  </w:t>
      </w:r>
    </w:p>
    <w:p w:rsidR="00B965D3" w:rsidRPr="00350097" w:rsidRDefault="00B965D3" w:rsidP="00B965D3">
      <w:pPr>
        <w:spacing w:after="0"/>
        <w:ind w:left="720"/>
        <w:rPr>
          <w:rFonts w:ascii="Calibri" w:eastAsia="Calibri" w:hAnsi="Calibri" w:cs="Calibri"/>
          <w:color w:val="1F497D" w:themeColor="text2"/>
        </w:rPr>
      </w:pPr>
      <w:r w:rsidRPr="00350097">
        <w:rPr>
          <w:rFonts w:ascii="Calibri" w:eastAsia="Calibri" w:hAnsi="Calibri" w:cs="Calibri"/>
          <w:color w:val="1F497D" w:themeColor="text2"/>
          <w:u w:val="single"/>
        </w:rPr>
        <w:t>One award</w:t>
      </w:r>
      <w:r w:rsidRPr="00350097">
        <w:rPr>
          <w:rFonts w:ascii="Calibri" w:eastAsia="Calibri" w:hAnsi="Calibri" w:cs="Calibri"/>
          <w:color w:val="1F497D" w:themeColor="text2"/>
        </w:rPr>
        <w:t xml:space="preserve"> of $5,000.00 is available.  Applicants may apply for one of the following research activities:</w:t>
      </w:r>
    </w:p>
    <w:p w:rsidR="00B965D3" w:rsidRPr="00350097" w:rsidRDefault="00B965D3" w:rsidP="00B965D3">
      <w:pPr>
        <w:spacing w:after="0"/>
        <w:ind w:left="1440" w:hanging="360"/>
        <w:rPr>
          <w:rFonts w:ascii="Calibri" w:eastAsia="Calibri" w:hAnsi="Calibri" w:cs="Calibri"/>
          <w:color w:val="1F497D" w:themeColor="text2"/>
        </w:rPr>
      </w:pPr>
      <w:r w:rsidRPr="00350097">
        <w:rPr>
          <w:rFonts w:ascii="Calibri" w:eastAsia="Calibri" w:hAnsi="Calibri" w:cs="Calibri"/>
          <w:color w:val="1F497D" w:themeColor="text2"/>
        </w:rPr>
        <w:t xml:space="preserve">Workshops </w:t>
      </w:r>
    </w:p>
    <w:p w:rsidR="00B965D3" w:rsidRPr="00350097" w:rsidRDefault="00B965D3" w:rsidP="00B965D3">
      <w:pPr>
        <w:spacing w:after="0"/>
        <w:ind w:left="1440" w:hanging="360"/>
        <w:rPr>
          <w:rFonts w:ascii="Calibri" w:eastAsia="Calibri" w:hAnsi="Calibri" w:cs="Calibri"/>
          <w:color w:val="1F497D" w:themeColor="text2"/>
        </w:rPr>
      </w:pPr>
      <w:r w:rsidRPr="00350097">
        <w:rPr>
          <w:rFonts w:ascii="Calibri" w:eastAsia="Calibri" w:hAnsi="Calibri" w:cs="Calibri"/>
          <w:color w:val="1F497D" w:themeColor="text2"/>
        </w:rPr>
        <w:t>Travelling fellowships for travel within Australia and internationally</w:t>
      </w:r>
    </w:p>
    <w:p w:rsidR="00B965D3" w:rsidRPr="00350097" w:rsidRDefault="00B965D3" w:rsidP="00B965D3">
      <w:pPr>
        <w:spacing w:after="0"/>
        <w:ind w:left="1440" w:hanging="360"/>
        <w:rPr>
          <w:rFonts w:ascii="Calibri" w:eastAsia="Calibri" w:hAnsi="Calibri" w:cs="Calibri"/>
          <w:color w:val="1F497D" w:themeColor="text2"/>
        </w:rPr>
      </w:pPr>
      <w:proofErr w:type="spellStart"/>
      <w:r w:rsidRPr="00350097">
        <w:rPr>
          <w:rFonts w:ascii="Calibri" w:eastAsia="Calibri" w:hAnsi="Calibri" w:cs="Calibri"/>
          <w:color w:val="1F497D" w:themeColor="text2"/>
        </w:rPr>
        <w:t>Masterclasses</w:t>
      </w:r>
      <w:proofErr w:type="spellEnd"/>
      <w:r w:rsidRPr="00350097">
        <w:rPr>
          <w:rFonts w:ascii="Calibri" w:eastAsia="Calibri" w:hAnsi="Calibri" w:cs="Calibri"/>
          <w:color w:val="1F497D" w:themeColor="text2"/>
        </w:rPr>
        <w:t xml:space="preserve"> featuring an internationally renowned research scholar </w:t>
      </w:r>
    </w:p>
    <w:p w:rsidR="00B965D3" w:rsidRPr="00350097" w:rsidRDefault="00B965D3" w:rsidP="00B965D3">
      <w:pPr>
        <w:spacing w:after="0" w:line="240" w:lineRule="auto"/>
        <w:rPr>
          <w:rFonts w:ascii="Calibri" w:eastAsia="Calibri" w:hAnsi="Calibri" w:cs="Calibri"/>
          <w:color w:val="1F497D" w:themeColor="text2"/>
        </w:rPr>
      </w:pPr>
      <w:r w:rsidRPr="00350097">
        <w:rPr>
          <w:rFonts w:ascii="Calibri" w:eastAsia="Calibri" w:hAnsi="Calibri" w:cs="Calibri"/>
          <w:b/>
          <w:bCs/>
          <w:color w:val="1F497D" w:themeColor="text2"/>
          <w:u w:val="single"/>
        </w:rPr>
        <w:t>How to apply</w:t>
      </w:r>
    </w:p>
    <w:p w:rsidR="00B965D3" w:rsidRPr="00350097" w:rsidRDefault="00B965D3" w:rsidP="00B965D3">
      <w:pPr>
        <w:spacing w:after="0" w:line="240" w:lineRule="auto"/>
        <w:rPr>
          <w:rFonts w:ascii="Calibri" w:eastAsia="Calibri" w:hAnsi="Calibri" w:cs="Calibri"/>
          <w:color w:val="1F497D" w:themeColor="text2"/>
        </w:rPr>
      </w:pPr>
      <w:r w:rsidRPr="00350097">
        <w:rPr>
          <w:rFonts w:ascii="Calibri" w:eastAsia="Calibri" w:hAnsi="Calibri" w:cs="Calibri"/>
          <w:color w:val="1F497D" w:themeColor="text2"/>
        </w:rPr>
        <w:t>Please click on the above links to access the Academy website and information regarding the application process for each scheme.</w:t>
      </w:r>
    </w:p>
    <w:p w:rsidR="00B965D3" w:rsidRPr="00350097" w:rsidRDefault="00B965D3" w:rsidP="00B965D3">
      <w:pPr>
        <w:spacing w:after="0" w:line="240" w:lineRule="auto"/>
        <w:rPr>
          <w:rFonts w:ascii="Calibri" w:eastAsia="Calibri" w:hAnsi="Calibri" w:cs="Calibri"/>
          <w:color w:val="1F497D" w:themeColor="text2"/>
        </w:rPr>
      </w:pPr>
      <w:r w:rsidRPr="00350097">
        <w:rPr>
          <w:rFonts w:ascii="Calibri" w:eastAsia="Calibri" w:hAnsi="Calibri" w:cs="Calibri"/>
          <w:color w:val="1F497D" w:themeColor="text2"/>
        </w:rPr>
        <w:t xml:space="preserve">Applications for all awards must be submitted by </w:t>
      </w:r>
      <w:r w:rsidRPr="00350097">
        <w:rPr>
          <w:rFonts w:ascii="Calibri" w:eastAsia="Calibri" w:hAnsi="Calibri" w:cs="Calibri"/>
          <w:b/>
          <w:bCs/>
          <w:color w:val="1F497D" w:themeColor="text2"/>
        </w:rPr>
        <w:t>5:00pm AEST on Thursday 10 April 2014</w:t>
      </w:r>
      <w:r w:rsidRPr="00350097">
        <w:rPr>
          <w:rFonts w:ascii="Calibri" w:eastAsia="Calibri" w:hAnsi="Calibri" w:cs="Calibri"/>
          <w:color w:val="1F497D" w:themeColor="text2"/>
        </w:rPr>
        <w:t>.</w:t>
      </w:r>
    </w:p>
    <w:p w:rsidR="00B965D3" w:rsidRPr="00350097" w:rsidRDefault="00B965D3" w:rsidP="00B965D3">
      <w:pPr>
        <w:spacing w:after="0" w:line="240" w:lineRule="auto"/>
        <w:rPr>
          <w:rFonts w:ascii="Calibri" w:eastAsia="Calibri" w:hAnsi="Calibri" w:cs="Calibri"/>
          <w:color w:val="1F497D" w:themeColor="text2"/>
        </w:rPr>
      </w:pPr>
      <w:r w:rsidRPr="00350097">
        <w:rPr>
          <w:rFonts w:ascii="Calibri" w:eastAsia="Calibri" w:hAnsi="Calibri" w:cs="Calibri"/>
          <w:color w:val="1F497D" w:themeColor="text2"/>
        </w:rPr>
        <w:t xml:space="preserve"> Questions concerning these awards should be directed to the Grants Manager: </w:t>
      </w:r>
      <w:hyperlink r:id="rId18" w:history="1">
        <w:r w:rsidRPr="00350097">
          <w:rPr>
            <w:rFonts w:ascii="Calibri" w:eastAsia="Calibri" w:hAnsi="Calibri" w:cs="Calibri"/>
            <w:color w:val="1F497D" w:themeColor="text2"/>
            <w:u w:val="single"/>
          </w:rPr>
          <w:t>grants@humanities.org.au</w:t>
        </w:r>
      </w:hyperlink>
    </w:p>
    <w:p w:rsidR="00B965D3" w:rsidRPr="00350097" w:rsidRDefault="00B965D3" w:rsidP="00B965D3">
      <w:pPr>
        <w:spacing w:after="0" w:line="240" w:lineRule="auto"/>
        <w:rPr>
          <w:rFonts w:ascii="Calibri" w:eastAsia="Calibri" w:hAnsi="Calibri" w:cs="Calibri"/>
          <w:color w:val="1F497D" w:themeColor="text2"/>
          <w:lang w:eastAsia="en-AU"/>
        </w:rPr>
      </w:pPr>
      <w:r w:rsidRPr="00350097">
        <w:rPr>
          <w:rFonts w:ascii="Calibri" w:eastAsia="Calibri" w:hAnsi="Calibri" w:cs="Calibri"/>
          <w:color w:val="1F497D" w:themeColor="text2"/>
        </w:rPr>
        <w:t> </w:t>
      </w:r>
      <w:r w:rsidRPr="00350097">
        <w:rPr>
          <w:rFonts w:ascii="Calibri" w:eastAsia="Calibri" w:hAnsi="Calibri" w:cs="Calibri"/>
          <w:color w:val="1F497D" w:themeColor="text2"/>
          <w:lang w:eastAsia="en-AU"/>
        </w:rPr>
        <w:t>Australian Academy of the Humanities</w:t>
      </w:r>
    </w:p>
    <w:p w:rsidR="00B965D3" w:rsidRPr="00350097" w:rsidRDefault="00B965D3" w:rsidP="00B965D3">
      <w:pPr>
        <w:spacing w:after="0" w:line="240" w:lineRule="auto"/>
        <w:rPr>
          <w:rFonts w:ascii="Calibri" w:eastAsia="Calibri" w:hAnsi="Calibri" w:cs="Calibri"/>
          <w:color w:val="1F497D" w:themeColor="text2"/>
          <w:lang w:eastAsia="en-AU"/>
        </w:rPr>
      </w:pPr>
      <w:r w:rsidRPr="00350097">
        <w:rPr>
          <w:rFonts w:ascii="Calibri" w:eastAsia="Calibri" w:hAnsi="Calibri" w:cs="Calibri"/>
          <w:color w:val="1F497D" w:themeColor="text2"/>
          <w:lang w:eastAsia="en-AU"/>
        </w:rPr>
        <w:t>GPO Box 93 Canberra ACT 2601</w:t>
      </w:r>
    </w:p>
    <w:p w:rsidR="00B965D3" w:rsidRPr="00350097" w:rsidRDefault="00B965D3" w:rsidP="00B965D3">
      <w:pPr>
        <w:spacing w:after="0" w:line="240" w:lineRule="auto"/>
        <w:rPr>
          <w:rFonts w:ascii="Calibri" w:eastAsia="Calibri" w:hAnsi="Calibri" w:cs="Calibri"/>
          <w:color w:val="1F497D" w:themeColor="text2"/>
          <w:lang w:eastAsia="en-AU"/>
        </w:rPr>
      </w:pPr>
      <w:r w:rsidRPr="00350097">
        <w:rPr>
          <w:rFonts w:ascii="Calibri" w:eastAsia="Calibri" w:hAnsi="Calibri" w:cs="Calibri"/>
          <w:color w:val="1F497D" w:themeColor="text2"/>
          <w:lang w:eastAsia="en-AU"/>
        </w:rPr>
        <w:t>Tel. +61 2 6125 9860 | Fax. +61 2 6248 6287</w:t>
      </w:r>
    </w:p>
    <w:p w:rsidR="00B965D3" w:rsidRPr="00350097" w:rsidRDefault="00B965D3" w:rsidP="00B965D3">
      <w:pPr>
        <w:spacing w:after="0" w:line="240" w:lineRule="auto"/>
        <w:rPr>
          <w:rFonts w:ascii="Calibri" w:eastAsia="Calibri" w:hAnsi="Calibri" w:cs="Calibri"/>
          <w:color w:val="1F497D" w:themeColor="text2"/>
          <w:lang w:eastAsia="en-AU"/>
        </w:rPr>
      </w:pPr>
      <w:r w:rsidRPr="00350097">
        <w:rPr>
          <w:rFonts w:ascii="Calibri" w:eastAsia="Calibri" w:hAnsi="Calibri" w:cs="Calibri"/>
          <w:color w:val="1F497D" w:themeColor="text2"/>
          <w:lang w:eastAsia="en-AU"/>
        </w:rPr>
        <w:t>Work hours: Tuesday-Friday, 9am-2.45pm</w:t>
      </w:r>
    </w:p>
    <w:p w:rsidR="00B965D3" w:rsidRPr="00223625" w:rsidRDefault="0059624A" w:rsidP="00B965D3">
      <w:pPr>
        <w:spacing w:after="0" w:line="240" w:lineRule="auto"/>
        <w:rPr>
          <w:rFonts w:ascii="Calibri" w:eastAsia="Calibri" w:hAnsi="Calibri" w:cs="Calibri"/>
          <w:lang w:eastAsia="en-AU"/>
        </w:rPr>
      </w:pPr>
      <w:hyperlink r:id="rId19" w:history="1">
        <w:r w:rsidR="00B965D3" w:rsidRPr="00223625">
          <w:rPr>
            <w:rFonts w:ascii="Calibri" w:eastAsia="Calibri" w:hAnsi="Calibri" w:cs="Calibri"/>
            <w:color w:val="0000FF"/>
            <w:u w:val="single"/>
            <w:lang w:eastAsia="en-AU"/>
          </w:rPr>
          <w:t>www.humanities.org.au</w:t>
        </w:r>
      </w:hyperlink>
    </w:p>
    <w:p w:rsidR="00B965D3" w:rsidRPr="00223625" w:rsidRDefault="00B965D3" w:rsidP="00B965D3">
      <w:pPr>
        <w:spacing w:after="0" w:line="240" w:lineRule="auto"/>
        <w:rPr>
          <w:rFonts w:ascii="Calibri" w:eastAsia="Calibri" w:hAnsi="Calibri" w:cs="Calibri"/>
          <w:sz w:val="20"/>
          <w:szCs w:val="20"/>
          <w:lang w:eastAsia="en-AU"/>
        </w:rPr>
      </w:pPr>
    </w:p>
    <w:p w:rsidR="009C365C" w:rsidRDefault="009C365C"/>
    <w:sectPr w:rsidR="009C365C" w:rsidSect="00EC6F35">
      <w:headerReference w:type="default" r:id="rId20"/>
      <w:footerReference w:type="default" r:id="rId21"/>
      <w:headerReference w:type="first" r:id="rId22"/>
      <w:footerReference w:type="first" r:id="rId23"/>
      <w:pgSz w:w="11906" w:h="16838" w:code="9"/>
      <w:pgMar w:top="1440" w:right="1080" w:bottom="1440" w:left="1080" w:header="397" w:footer="22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73C" w:rsidRDefault="00E1273C">
      <w:pPr>
        <w:spacing w:after="0" w:line="240" w:lineRule="auto"/>
      </w:pPr>
      <w:r>
        <w:separator/>
      </w:r>
    </w:p>
  </w:endnote>
  <w:endnote w:type="continuationSeparator" w:id="0">
    <w:p w:rsidR="00E1273C" w:rsidRDefault="00E12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altName w:val="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38" w:rsidRPr="007C0F1B" w:rsidRDefault="00B965D3" w:rsidP="00E946E5">
    <w:pPr>
      <w:pStyle w:val="NormalBase"/>
    </w:pPr>
    <w:r>
      <w:rPr>
        <w:rFonts w:eastAsia="Times New Roman"/>
        <w:noProof/>
        <w:lang w:val="en-US"/>
      </w:rPr>
      <w:drawing>
        <wp:anchor distT="0" distB="0" distL="114300" distR="114300" simplePos="0" relativeHeight="251663360" behindDoc="1" locked="1" layoutInCell="1" allowOverlap="1" wp14:anchorId="5A72ABA3" wp14:editId="7C2F6168">
          <wp:simplePos x="0" y="0"/>
          <wp:positionH relativeFrom="page">
            <wp:posOffset>248285</wp:posOffset>
          </wp:positionH>
          <wp:positionV relativeFrom="page">
            <wp:posOffset>9764395</wp:posOffset>
          </wp:positionV>
          <wp:extent cx="7088400" cy="712800"/>
          <wp:effectExtent l="0" t="0" r="0" b="0"/>
          <wp:wrapNone/>
          <wp:docPr id="3" name="Picture 8" descr="Orange Banner 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ange Banner 1-3.png"/>
                  <pic:cNvPicPr preferRelativeResize="0"/>
                </pic:nvPicPr>
                <pic:blipFill>
                  <a:blip r:embed="rId1"/>
                  <a:stretch>
                    <a:fillRect/>
                  </a:stretch>
                </pic:blipFill>
                <pic:spPr>
                  <a:xfrm>
                    <a:off x="0" y="0"/>
                    <a:ext cx="70884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62336" behindDoc="0" locked="1" layoutInCell="1" allowOverlap="1" wp14:anchorId="40B8C0C7" wp14:editId="0AC85EA6">
              <wp:simplePos x="0" y="0"/>
              <wp:positionH relativeFrom="page">
                <wp:posOffset>245110</wp:posOffset>
              </wp:positionH>
              <wp:positionV relativeFrom="page">
                <wp:posOffset>9753600</wp:posOffset>
              </wp:positionV>
              <wp:extent cx="7099200" cy="7236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200" cy="72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438" w:rsidRPr="00793852" w:rsidRDefault="00B965D3" w:rsidP="00E946E5">
                          <w:pPr>
                            <w:pStyle w:val="FooterReport"/>
                          </w:pPr>
                          <w:r w:rsidRPr="00793852">
                            <w:t xml:space="preserve">School of </w:t>
                          </w:r>
                          <w:r>
                            <w:t>Law</w:t>
                          </w:r>
                          <w:r w:rsidRPr="00793852">
                            <w:t xml:space="preserve"> </w:t>
                          </w:r>
                        </w:p>
                        <w:p w:rsidR="00736438" w:rsidRDefault="00B965D3" w:rsidP="00E946E5">
                          <w:pPr>
                            <w:pStyle w:val="FooterReport"/>
                          </w:pPr>
                          <w:r w:rsidRPr="00793852">
                            <w:t xml:space="preserve">Faculty of </w:t>
                          </w:r>
                          <w:r>
                            <w:t>Business and Law</w:t>
                          </w:r>
                        </w:p>
                        <w:p w:rsidR="00736438" w:rsidRPr="00793852" w:rsidRDefault="00B965D3" w:rsidP="00E946E5">
                          <w:pPr>
                            <w:pStyle w:val="FooterReport"/>
                          </w:pPr>
                          <w:r w:rsidRPr="00793852">
                            <w:t>Melbourne Burwood Campus, 221 Burwood Highway, Burwood, VIC 3125</w:t>
                          </w:r>
                        </w:p>
                        <w:p w:rsidR="00736438" w:rsidRPr="00793852" w:rsidRDefault="00B965D3" w:rsidP="00E946E5">
                          <w:pPr>
                            <w:pStyle w:val="FooterReport"/>
                          </w:pPr>
                          <w:r w:rsidRPr="00793852">
                            <w:t xml:space="preserve">Tel 03 </w:t>
                          </w:r>
                          <w:r>
                            <w:t xml:space="preserve">5227 7215 </w:t>
                          </w:r>
                          <w:proofErr w:type="gramStart"/>
                          <w:r>
                            <w:t>natalie.ward@</w:t>
                          </w:r>
                          <w:r w:rsidRPr="00793852">
                            <w:t>deakin.edu.au  www.deakin.edu.au</w:t>
                          </w:r>
                          <w:proofErr w:type="gramEnd"/>
                        </w:p>
                        <w:p w:rsidR="00736438" w:rsidRDefault="0059624A" w:rsidP="00E946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3pt;margin-top:768pt;width:559pt;height: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iwsg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" filled="f" stroked="f">
              <v:textbox>
                <w:txbxContent>
                  <w:p w:rsidR="00736438" w:rsidRPr="00793852" w:rsidRDefault="00B965D3" w:rsidP="00E946E5">
                    <w:pPr>
                      <w:pStyle w:val="FooterReport"/>
                    </w:pPr>
                    <w:r w:rsidRPr="00793852">
                      <w:t xml:space="preserve">School of </w:t>
                    </w:r>
                    <w:r>
                      <w:t>Law</w:t>
                    </w:r>
                    <w:r w:rsidRPr="00793852">
                      <w:t xml:space="preserve"> </w:t>
                    </w:r>
                  </w:p>
                  <w:p w:rsidR="00736438" w:rsidRDefault="00B965D3" w:rsidP="00E946E5">
                    <w:pPr>
                      <w:pStyle w:val="FooterReport"/>
                    </w:pPr>
                    <w:r w:rsidRPr="00793852">
                      <w:t xml:space="preserve">Faculty of </w:t>
                    </w:r>
                    <w:r>
                      <w:t>Business and Law</w:t>
                    </w:r>
                  </w:p>
                  <w:p w:rsidR="00736438" w:rsidRPr="00793852" w:rsidRDefault="00B965D3" w:rsidP="00E946E5">
                    <w:pPr>
                      <w:pStyle w:val="FooterReport"/>
                    </w:pPr>
                    <w:r w:rsidRPr="00793852">
                      <w:t>Melbourne Burwood Campus, 221 Burwood Highway, Burwood, VIC 3125</w:t>
                    </w:r>
                  </w:p>
                  <w:p w:rsidR="00736438" w:rsidRPr="00793852" w:rsidRDefault="00B965D3" w:rsidP="00E946E5">
                    <w:pPr>
                      <w:pStyle w:val="FooterReport"/>
                    </w:pPr>
                    <w:r w:rsidRPr="00793852">
                      <w:t xml:space="preserve">Tel 03 </w:t>
                    </w:r>
                    <w:r>
                      <w:t xml:space="preserve">5227 7215 </w:t>
                    </w:r>
                    <w:proofErr w:type="gramStart"/>
                    <w:r>
                      <w:t>natalie.ward@</w:t>
                    </w:r>
                    <w:r w:rsidRPr="00793852">
                      <w:t>deakin.edu.au  www.deakin.edu.au</w:t>
                    </w:r>
                    <w:proofErr w:type="gramEnd"/>
                  </w:p>
                  <w:p w:rsidR="00736438" w:rsidRDefault="00E1273C" w:rsidP="00E946E5"/>
                </w:txbxContent>
              </v:textbox>
              <w10:wrap anchorx="page" anchory="page"/>
              <w10:anchorlock/>
            </v:shape>
          </w:pict>
        </mc:Fallback>
      </mc:AlternateContent>
    </w:r>
  </w:p>
  <w:p w:rsidR="00736438" w:rsidRPr="007C0F1B" w:rsidRDefault="00B965D3" w:rsidP="00E946E5">
    <w:pPr>
      <w:pStyle w:val="FooterCode"/>
    </w:pPr>
    <w:r>
      <w:t>Deakin University CRICOS Provider Code: 00113B</w:t>
    </w:r>
  </w:p>
  <w:p w:rsidR="00736438" w:rsidRPr="00E946E5" w:rsidRDefault="0059624A" w:rsidP="00E946E5">
    <w:pPr>
      <w:pStyle w:val="FooterBas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38" w:rsidRPr="007C0F1B" w:rsidRDefault="00B965D3" w:rsidP="00C27889">
    <w:pPr>
      <w:pStyle w:val="NormalBase"/>
    </w:pPr>
    <w:r>
      <w:rPr>
        <w:rFonts w:eastAsia="Times New Roman"/>
        <w:noProof/>
        <w:lang w:val="en-US"/>
      </w:rPr>
      <w:drawing>
        <wp:anchor distT="0" distB="0" distL="114300" distR="114300" simplePos="0" relativeHeight="251661312" behindDoc="1" locked="1" layoutInCell="1" allowOverlap="1" wp14:anchorId="06EF83C5" wp14:editId="2D9ED60A">
          <wp:simplePos x="0" y="0"/>
          <wp:positionH relativeFrom="page">
            <wp:posOffset>248285</wp:posOffset>
          </wp:positionH>
          <wp:positionV relativeFrom="page">
            <wp:posOffset>9764395</wp:posOffset>
          </wp:positionV>
          <wp:extent cx="7088400" cy="712800"/>
          <wp:effectExtent l="0" t="0" r="0" b="0"/>
          <wp:wrapNone/>
          <wp:docPr id="5" name="Picture 5" descr="Orange Banner 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ange Banner 1-3.png"/>
                  <pic:cNvPicPr preferRelativeResize="0"/>
                </pic:nvPicPr>
                <pic:blipFill>
                  <a:blip r:embed="rId1"/>
                  <a:stretch>
                    <a:fillRect/>
                  </a:stretch>
                </pic:blipFill>
                <pic:spPr>
                  <a:xfrm>
                    <a:off x="0" y="0"/>
                    <a:ext cx="70884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9264" behindDoc="0" locked="1" layoutInCell="1" allowOverlap="1" wp14:anchorId="4185FD52" wp14:editId="4C541BC3">
              <wp:simplePos x="0" y="0"/>
              <wp:positionH relativeFrom="page">
                <wp:posOffset>245110</wp:posOffset>
              </wp:positionH>
              <wp:positionV relativeFrom="page">
                <wp:posOffset>9753600</wp:posOffset>
              </wp:positionV>
              <wp:extent cx="7099200" cy="723600"/>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200" cy="72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438" w:rsidRPr="00793852" w:rsidRDefault="00B965D3" w:rsidP="00793852">
                          <w:pPr>
                            <w:pStyle w:val="FooterReport"/>
                          </w:pPr>
                          <w:r w:rsidRPr="00793852">
                            <w:t xml:space="preserve">School of </w:t>
                          </w:r>
                          <w:r>
                            <w:t>Law</w:t>
                          </w:r>
                        </w:p>
                        <w:p w:rsidR="00736438" w:rsidRPr="00793852" w:rsidRDefault="00B965D3" w:rsidP="00793852">
                          <w:pPr>
                            <w:pStyle w:val="FooterReport"/>
                          </w:pPr>
                          <w:r w:rsidRPr="00793852">
                            <w:t xml:space="preserve">Faculty of </w:t>
                          </w:r>
                          <w:r>
                            <w:t xml:space="preserve">Business </w:t>
                          </w:r>
                          <w:r w:rsidRPr="00793852">
                            <w:t xml:space="preserve">and </w:t>
                          </w:r>
                          <w:r>
                            <w:t>Law</w:t>
                          </w:r>
                        </w:p>
                        <w:p w:rsidR="00736438" w:rsidRPr="00793852" w:rsidRDefault="00B965D3" w:rsidP="00793852">
                          <w:pPr>
                            <w:pStyle w:val="FooterReport"/>
                          </w:pPr>
                          <w:r w:rsidRPr="00793852">
                            <w:t>Melbourne Burwood Campus, 221 Burwood Highway, Burwood, VIC 3125</w:t>
                          </w:r>
                        </w:p>
                        <w:p w:rsidR="00736438" w:rsidRPr="00793852" w:rsidRDefault="00B965D3" w:rsidP="00793852">
                          <w:pPr>
                            <w:pStyle w:val="FooterReport"/>
                          </w:pPr>
                          <w:r w:rsidRPr="00793852">
                            <w:t xml:space="preserve">Tel 03 </w:t>
                          </w:r>
                          <w:r>
                            <w:t xml:space="preserve">5227 7215 </w:t>
                          </w:r>
                          <w:proofErr w:type="gramStart"/>
                          <w:r>
                            <w:t>natalie.ward@</w:t>
                          </w:r>
                          <w:r w:rsidRPr="00793852">
                            <w:t>deakin.edu.au  www.deakin.edu.au</w:t>
                          </w:r>
                          <w:proofErr w:type="gramEnd"/>
                        </w:p>
                        <w:p w:rsidR="00736438" w:rsidRDefault="005962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9.3pt;margin-top:768pt;width:559pt;height: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" filled="f" stroked="f">
              <v:textbox>
                <w:txbxContent>
                  <w:p w:rsidR="00736438" w:rsidRPr="00793852" w:rsidRDefault="00B965D3" w:rsidP="00793852">
                    <w:pPr>
                      <w:pStyle w:val="FooterReport"/>
                    </w:pPr>
                    <w:r w:rsidRPr="00793852">
                      <w:t xml:space="preserve">School of </w:t>
                    </w:r>
                    <w:r>
                      <w:t>Law</w:t>
                    </w:r>
                  </w:p>
                  <w:p w:rsidR="00736438" w:rsidRPr="00793852" w:rsidRDefault="00B965D3" w:rsidP="00793852">
                    <w:pPr>
                      <w:pStyle w:val="FooterReport"/>
                    </w:pPr>
                    <w:r w:rsidRPr="00793852">
                      <w:t xml:space="preserve">Faculty of </w:t>
                    </w:r>
                    <w:r>
                      <w:t xml:space="preserve">Business </w:t>
                    </w:r>
                    <w:r w:rsidRPr="00793852">
                      <w:t xml:space="preserve">and </w:t>
                    </w:r>
                    <w:r>
                      <w:t>Law</w:t>
                    </w:r>
                  </w:p>
                  <w:p w:rsidR="00736438" w:rsidRPr="00793852" w:rsidRDefault="00B965D3" w:rsidP="00793852">
                    <w:pPr>
                      <w:pStyle w:val="FooterReport"/>
                    </w:pPr>
                    <w:r w:rsidRPr="00793852">
                      <w:t>Melbourne Burwood Campus, 221 Burwood Highway, Burwood, VIC 3125</w:t>
                    </w:r>
                  </w:p>
                  <w:p w:rsidR="00736438" w:rsidRPr="00793852" w:rsidRDefault="00B965D3" w:rsidP="00793852">
                    <w:pPr>
                      <w:pStyle w:val="FooterReport"/>
                    </w:pPr>
                    <w:r w:rsidRPr="00793852">
                      <w:t xml:space="preserve">Tel 03 </w:t>
                    </w:r>
                    <w:r>
                      <w:t xml:space="preserve">5227 7215 </w:t>
                    </w:r>
                    <w:proofErr w:type="gramStart"/>
                    <w:r>
                      <w:t>natalie.ward@</w:t>
                    </w:r>
                    <w:r w:rsidRPr="00793852">
                      <w:t>deakin.edu.au  www.deakin.edu.au</w:t>
                    </w:r>
                    <w:proofErr w:type="gramEnd"/>
                  </w:p>
                  <w:p w:rsidR="00736438" w:rsidRDefault="00E1273C"/>
                </w:txbxContent>
              </v:textbox>
              <w10:wrap anchorx="page" anchory="page"/>
              <w10:anchorlock/>
            </v:shape>
          </w:pict>
        </mc:Fallback>
      </mc:AlternateContent>
    </w:r>
  </w:p>
  <w:p w:rsidR="00736438" w:rsidRPr="007C0F1B" w:rsidRDefault="00B965D3" w:rsidP="008B402F">
    <w:pPr>
      <w:pStyle w:val="FooterCode"/>
    </w:pPr>
    <w:r>
      <w:t>Deakin University CRICOS Provider Code: 00113B</w:t>
    </w:r>
  </w:p>
  <w:p w:rsidR="00736438" w:rsidRPr="007C0F1B" w:rsidRDefault="0059624A" w:rsidP="008B402F">
    <w:pPr>
      <w:pStyle w:val="FooterBas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73C" w:rsidRDefault="00E1273C">
      <w:pPr>
        <w:spacing w:after="0" w:line="240" w:lineRule="auto"/>
      </w:pPr>
      <w:r>
        <w:separator/>
      </w:r>
    </w:p>
  </w:footnote>
  <w:footnote w:type="continuationSeparator" w:id="0">
    <w:p w:rsidR="00E1273C" w:rsidRDefault="00E1273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019417"/>
      <w:docPartObj>
        <w:docPartGallery w:val="Page Numbers (Top of Page)"/>
        <w:docPartUnique/>
      </w:docPartObj>
    </w:sdtPr>
    <w:sdtEndPr>
      <w:rPr>
        <w:noProof/>
      </w:rPr>
    </w:sdtEndPr>
    <w:sdtContent>
      <w:p w:rsidR="00737065" w:rsidRDefault="00737065">
        <w:pPr>
          <w:pStyle w:val="Header"/>
          <w:jc w:val="center"/>
        </w:pPr>
        <w:r>
          <w:fldChar w:fldCharType="begin"/>
        </w:r>
        <w:r>
          <w:instrText xml:space="preserve"> PAGE   \* MERGEFORMAT </w:instrText>
        </w:r>
        <w:r>
          <w:fldChar w:fldCharType="separate"/>
        </w:r>
        <w:r w:rsidR="0059624A">
          <w:rPr>
            <w:noProof/>
          </w:rPr>
          <w:t>7</w:t>
        </w:r>
        <w:r>
          <w:rPr>
            <w:noProof/>
          </w:rPr>
          <w:fldChar w:fldCharType="end"/>
        </w:r>
      </w:p>
    </w:sdtContent>
  </w:sdt>
  <w:p w:rsidR="00737065" w:rsidRDefault="0073706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38" w:rsidRDefault="00B965D3" w:rsidP="00A42BB8">
    <w:pPr>
      <w:pStyle w:val="NormalBase"/>
      <w:keepNext/>
    </w:pPr>
    <w:r>
      <w:rPr>
        <w:noProof/>
        <w:lang w:val="en-US"/>
      </w:rPr>
      <w:drawing>
        <wp:anchor distT="0" distB="0" distL="114300" distR="114300" simplePos="0" relativeHeight="251660288" behindDoc="0" locked="0" layoutInCell="1" allowOverlap="1" wp14:anchorId="43E3BD4D" wp14:editId="12E21941">
          <wp:simplePos x="0" y="0"/>
          <wp:positionH relativeFrom="page">
            <wp:posOffset>3086100</wp:posOffset>
          </wp:positionH>
          <wp:positionV relativeFrom="page">
            <wp:posOffset>257175</wp:posOffset>
          </wp:positionV>
          <wp:extent cx="1333500" cy="1333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kin_Worldly_Logo_Key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margin">
            <wp14:pctWidth>0</wp14:pctWidth>
          </wp14:sizeRelH>
          <wp14:sizeRelV relativeFrom="margin">
            <wp14:pctHeight>0</wp14:pctHeight>
          </wp14:sizeRelV>
        </wp:anchor>
      </w:drawing>
    </w:r>
  </w:p>
  <w:p w:rsidR="00736438" w:rsidRDefault="0059624A" w:rsidP="00A42BB8">
    <w:pPr>
      <w:pStyle w:val="NormalBase"/>
      <w:keepNext/>
    </w:pPr>
  </w:p>
  <w:p w:rsidR="00736438" w:rsidRDefault="0059624A" w:rsidP="00A42BB8">
    <w:pPr>
      <w:pStyle w:val="NormalBase"/>
      <w:keepNext/>
    </w:pPr>
  </w:p>
  <w:p w:rsidR="00736438" w:rsidRDefault="0059624A" w:rsidP="00A42BB8">
    <w:pPr>
      <w:pStyle w:val="NormalBase"/>
      <w:keepNext/>
    </w:pPr>
  </w:p>
  <w:p w:rsidR="00736438" w:rsidRDefault="0059624A" w:rsidP="00A42BB8">
    <w:pPr>
      <w:pStyle w:val="NormalBase"/>
      <w:keepNext/>
    </w:pPr>
  </w:p>
  <w:p w:rsidR="00736438" w:rsidRDefault="0059624A" w:rsidP="00A42BB8">
    <w:pPr>
      <w:pStyle w:val="NormalBase"/>
      <w:keepNext/>
    </w:pPr>
  </w:p>
  <w:p w:rsidR="00736438" w:rsidRDefault="0059624A" w:rsidP="00A42BB8">
    <w:pPr>
      <w:pStyle w:val="NormalBase"/>
      <w:keepNext/>
    </w:pPr>
  </w:p>
  <w:p w:rsidR="00736438" w:rsidRDefault="0059624A" w:rsidP="00A42BB8">
    <w:pPr>
      <w:pStyle w:val="NormalBase"/>
      <w:keepNext/>
    </w:pPr>
  </w:p>
  <w:p w:rsidR="00736438" w:rsidRDefault="0059624A" w:rsidP="00A42BB8">
    <w:pPr>
      <w:pStyle w:val="NormalBase"/>
      <w:keepNext/>
    </w:pPr>
  </w:p>
  <w:p w:rsidR="00736438" w:rsidRDefault="0059624A" w:rsidP="00825DF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16D"/>
    <w:multiLevelType w:val="hybridMultilevel"/>
    <w:tmpl w:val="3500C6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8C1E9E"/>
    <w:multiLevelType w:val="hybridMultilevel"/>
    <w:tmpl w:val="1EB21B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5D106A9F"/>
    <w:multiLevelType w:val="hybridMultilevel"/>
    <w:tmpl w:val="2F761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D3"/>
    <w:rsid w:val="00055821"/>
    <w:rsid w:val="000D1D6B"/>
    <w:rsid w:val="0010077B"/>
    <w:rsid w:val="00151379"/>
    <w:rsid w:val="002A6CF7"/>
    <w:rsid w:val="002D6F29"/>
    <w:rsid w:val="002F514F"/>
    <w:rsid w:val="0032139A"/>
    <w:rsid w:val="003860A7"/>
    <w:rsid w:val="0059624A"/>
    <w:rsid w:val="006063D8"/>
    <w:rsid w:val="00674D70"/>
    <w:rsid w:val="006A0D40"/>
    <w:rsid w:val="00737065"/>
    <w:rsid w:val="00825D75"/>
    <w:rsid w:val="00872333"/>
    <w:rsid w:val="009C365C"/>
    <w:rsid w:val="00A02B3F"/>
    <w:rsid w:val="00AC2B3D"/>
    <w:rsid w:val="00B81AB0"/>
    <w:rsid w:val="00B965D3"/>
    <w:rsid w:val="00C001EE"/>
    <w:rsid w:val="00CB5687"/>
    <w:rsid w:val="00CC5D6A"/>
    <w:rsid w:val="00D01F18"/>
    <w:rsid w:val="00D2559B"/>
    <w:rsid w:val="00DF74AF"/>
    <w:rsid w:val="00E00EBF"/>
    <w:rsid w:val="00E1273C"/>
    <w:rsid w:val="00E629A5"/>
    <w:rsid w:val="00EC65A7"/>
    <w:rsid w:val="00F21566"/>
    <w:rsid w:val="00F81189"/>
    <w:rsid w:val="00FD47C4"/>
    <w:rsid w:val="00FD50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5D3"/>
  </w:style>
  <w:style w:type="paragraph" w:customStyle="1" w:styleId="NormalBase">
    <w:name w:val="Normal Base"/>
    <w:rsid w:val="00B965D3"/>
    <w:pPr>
      <w:spacing w:after="0" w:line="240" w:lineRule="auto"/>
    </w:pPr>
    <w:rPr>
      <w:rFonts w:ascii="Calibri" w:hAnsi="Calibri" w:cs="Calibri"/>
      <w:color w:val="000000"/>
      <w:sz w:val="20"/>
      <w:u w:color="000000"/>
    </w:rPr>
  </w:style>
  <w:style w:type="paragraph" w:customStyle="1" w:styleId="FooterReport">
    <w:name w:val="Footer: Report"/>
    <w:basedOn w:val="Normal"/>
    <w:semiHidden/>
    <w:unhideWhenUsed/>
    <w:rsid w:val="00B965D3"/>
    <w:pPr>
      <w:tabs>
        <w:tab w:val="center" w:pos="5329"/>
      </w:tabs>
      <w:spacing w:after="0" w:line="240" w:lineRule="auto"/>
      <w:jc w:val="center"/>
    </w:pPr>
    <w:rPr>
      <w:rFonts w:ascii="Calibri" w:hAnsi="Calibri" w:cs="Calibri"/>
      <w:b/>
      <w:color w:val="FFFFFF"/>
      <w:sz w:val="20"/>
      <w:u w:color="000000"/>
    </w:rPr>
  </w:style>
  <w:style w:type="paragraph" w:customStyle="1" w:styleId="FooterCode">
    <w:name w:val="Footer: Code"/>
    <w:basedOn w:val="Normal"/>
    <w:qFormat/>
    <w:rsid w:val="00B965D3"/>
    <w:pPr>
      <w:spacing w:before="560" w:after="1080" w:line="240" w:lineRule="auto"/>
      <w:ind w:right="-992"/>
      <w:jc w:val="right"/>
    </w:pPr>
    <w:rPr>
      <w:rFonts w:ascii="Calibri" w:hAnsi="Calibri" w:cs="Calibri"/>
      <w:color w:val="000000"/>
      <w:sz w:val="14"/>
      <w:u w:color="000000"/>
    </w:rPr>
  </w:style>
  <w:style w:type="paragraph" w:customStyle="1" w:styleId="FooterBase">
    <w:name w:val="Footer: Base"/>
    <w:basedOn w:val="Normal"/>
    <w:qFormat/>
    <w:rsid w:val="00B965D3"/>
    <w:pPr>
      <w:spacing w:after="0" w:line="240" w:lineRule="auto"/>
    </w:pPr>
    <w:rPr>
      <w:rFonts w:ascii="Times New Roman" w:eastAsiaTheme="minorEastAsia" w:hAnsi="Times New Roman" w:cs="Times New Roman"/>
      <w:sz w:val="14"/>
      <w:szCs w:val="24"/>
      <w:u w:color="000000"/>
      <w:lang w:val="en-US"/>
    </w:rPr>
  </w:style>
  <w:style w:type="character" w:styleId="Hyperlink">
    <w:name w:val="Hyperlink"/>
    <w:basedOn w:val="DefaultParagraphFont"/>
    <w:uiPriority w:val="99"/>
    <w:unhideWhenUsed/>
    <w:rsid w:val="00B965D3"/>
    <w:rPr>
      <w:color w:val="0000FF" w:themeColor="hyperlink"/>
      <w:u w:val="single"/>
    </w:rPr>
  </w:style>
  <w:style w:type="paragraph" w:styleId="BodyText">
    <w:name w:val="Body Text"/>
    <w:basedOn w:val="Normal"/>
    <w:link w:val="BodyTextChar"/>
    <w:uiPriority w:val="99"/>
    <w:semiHidden/>
    <w:unhideWhenUsed/>
    <w:rsid w:val="00B965D3"/>
    <w:pPr>
      <w:spacing w:after="120"/>
    </w:pPr>
  </w:style>
  <w:style w:type="character" w:customStyle="1" w:styleId="BodyTextChar">
    <w:name w:val="Body Text Char"/>
    <w:basedOn w:val="DefaultParagraphFont"/>
    <w:link w:val="BodyText"/>
    <w:uiPriority w:val="99"/>
    <w:semiHidden/>
    <w:rsid w:val="00B965D3"/>
  </w:style>
  <w:style w:type="paragraph" w:styleId="ListParagraph">
    <w:name w:val="List Paragraph"/>
    <w:basedOn w:val="Normal"/>
    <w:uiPriority w:val="34"/>
    <w:qFormat/>
    <w:rsid w:val="00B965D3"/>
    <w:pPr>
      <w:ind w:left="720"/>
      <w:contextualSpacing/>
    </w:pPr>
  </w:style>
  <w:style w:type="paragraph" w:styleId="PlainText">
    <w:name w:val="Plain Text"/>
    <w:basedOn w:val="Normal"/>
    <w:link w:val="PlainTextChar"/>
    <w:uiPriority w:val="99"/>
    <w:unhideWhenUsed/>
    <w:rsid w:val="00F8118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81189"/>
    <w:rPr>
      <w:rFonts w:ascii="Calibri" w:hAnsi="Calibri"/>
      <w:szCs w:val="21"/>
    </w:rPr>
  </w:style>
  <w:style w:type="paragraph" w:styleId="Footer">
    <w:name w:val="footer"/>
    <w:basedOn w:val="Normal"/>
    <w:link w:val="FooterChar"/>
    <w:uiPriority w:val="99"/>
    <w:unhideWhenUsed/>
    <w:rsid w:val="00737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0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5D3"/>
  </w:style>
  <w:style w:type="paragraph" w:customStyle="1" w:styleId="NormalBase">
    <w:name w:val="Normal Base"/>
    <w:rsid w:val="00B965D3"/>
    <w:pPr>
      <w:spacing w:after="0" w:line="240" w:lineRule="auto"/>
    </w:pPr>
    <w:rPr>
      <w:rFonts w:ascii="Calibri" w:hAnsi="Calibri" w:cs="Calibri"/>
      <w:color w:val="000000"/>
      <w:sz w:val="20"/>
      <w:u w:color="000000"/>
    </w:rPr>
  </w:style>
  <w:style w:type="paragraph" w:customStyle="1" w:styleId="FooterReport">
    <w:name w:val="Footer: Report"/>
    <w:basedOn w:val="Normal"/>
    <w:semiHidden/>
    <w:unhideWhenUsed/>
    <w:rsid w:val="00B965D3"/>
    <w:pPr>
      <w:tabs>
        <w:tab w:val="center" w:pos="5329"/>
      </w:tabs>
      <w:spacing w:after="0" w:line="240" w:lineRule="auto"/>
      <w:jc w:val="center"/>
    </w:pPr>
    <w:rPr>
      <w:rFonts w:ascii="Calibri" w:hAnsi="Calibri" w:cs="Calibri"/>
      <w:b/>
      <w:color w:val="FFFFFF"/>
      <w:sz w:val="20"/>
      <w:u w:color="000000"/>
    </w:rPr>
  </w:style>
  <w:style w:type="paragraph" w:customStyle="1" w:styleId="FooterCode">
    <w:name w:val="Footer: Code"/>
    <w:basedOn w:val="Normal"/>
    <w:qFormat/>
    <w:rsid w:val="00B965D3"/>
    <w:pPr>
      <w:spacing w:before="560" w:after="1080" w:line="240" w:lineRule="auto"/>
      <w:ind w:right="-992"/>
      <w:jc w:val="right"/>
    </w:pPr>
    <w:rPr>
      <w:rFonts w:ascii="Calibri" w:hAnsi="Calibri" w:cs="Calibri"/>
      <w:color w:val="000000"/>
      <w:sz w:val="14"/>
      <w:u w:color="000000"/>
    </w:rPr>
  </w:style>
  <w:style w:type="paragraph" w:customStyle="1" w:styleId="FooterBase">
    <w:name w:val="Footer: Base"/>
    <w:basedOn w:val="Normal"/>
    <w:qFormat/>
    <w:rsid w:val="00B965D3"/>
    <w:pPr>
      <w:spacing w:after="0" w:line="240" w:lineRule="auto"/>
    </w:pPr>
    <w:rPr>
      <w:rFonts w:ascii="Times New Roman" w:eastAsiaTheme="minorEastAsia" w:hAnsi="Times New Roman" w:cs="Times New Roman"/>
      <w:sz w:val="14"/>
      <w:szCs w:val="24"/>
      <w:u w:color="000000"/>
      <w:lang w:val="en-US"/>
    </w:rPr>
  </w:style>
  <w:style w:type="character" w:styleId="Hyperlink">
    <w:name w:val="Hyperlink"/>
    <w:basedOn w:val="DefaultParagraphFont"/>
    <w:uiPriority w:val="99"/>
    <w:unhideWhenUsed/>
    <w:rsid w:val="00B965D3"/>
    <w:rPr>
      <w:color w:val="0000FF" w:themeColor="hyperlink"/>
      <w:u w:val="single"/>
    </w:rPr>
  </w:style>
  <w:style w:type="paragraph" w:styleId="BodyText">
    <w:name w:val="Body Text"/>
    <w:basedOn w:val="Normal"/>
    <w:link w:val="BodyTextChar"/>
    <w:uiPriority w:val="99"/>
    <w:semiHidden/>
    <w:unhideWhenUsed/>
    <w:rsid w:val="00B965D3"/>
    <w:pPr>
      <w:spacing w:after="120"/>
    </w:pPr>
  </w:style>
  <w:style w:type="character" w:customStyle="1" w:styleId="BodyTextChar">
    <w:name w:val="Body Text Char"/>
    <w:basedOn w:val="DefaultParagraphFont"/>
    <w:link w:val="BodyText"/>
    <w:uiPriority w:val="99"/>
    <w:semiHidden/>
    <w:rsid w:val="00B965D3"/>
  </w:style>
  <w:style w:type="paragraph" w:styleId="ListParagraph">
    <w:name w:val="List Paragraph"/>
    <w:basedOn w:val="Normal"/>
    <w:uiPriority w:val="34"/>
    <w:qFormat/>
    <w:rsid w:val="00B965D3"/>
    <w:pPr>
      <w:ind w:left="720"/>
      <w:contextualSpacing/>
    </w:pPr>
  </w:style>
  <w:style w:type="paragraph" w:styleId="PlainText">
    <w:name w:val="Plain Text"/>
    <w:basedOn w:val="Normal"/>
    <w:link w:val="PlainTextChar"/>
    <w:uiPriority w:val="99"/>
    <w:unhideWhenUsed/>
    <w:rsid w:val="00F8118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81189"/>
    <w:rPr>
      <w:rFonts w:ascii="Calibri" w:hAnsi="Calibri"/>
      <w:szCs w:val="21"/>
    </w:rPr>
  </w:style>
  <w:style w:type="paragraph" w:styleId="Footer">
    <w:name w:val="footer"/>
    <w:basedOn w:val="Normal"/>
    <w:link w:val="FooterChar"/>
    <w:uiPriority w:val="99"/>
    <w:unhideWhenUsed/>
    <w:rsid w:val="00737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73934">
      <w:bodyDiv w:val="1"/>
      <w:marLeft w:val="0"/>
      <w:marRight w:val="0"/>
      <w:marTop w:val="0"/>
      <w:marBottom w:val="0"/>
      <w:divBdr>
        <w:top w:val="none" w:sz="0" w:space="0" w:color="auto"/>
        <w:left w:val="none" w:sz="0" w:space="0" w:color="auto"/>
        <w:bottom w:val="none" w:sz="0" w:space="0" w:color="auto"/>
        <w:right w:val="none" w:sz="0" w:space="0" w:color="auto"/>
      </w:divBdr>
    </w:div>
    <w:div w:id="504591892">
      <w:bodyDiv w:val="1"/>
      <w:marLeft w:val="0"/>
      <w:marRight w:val="0"/>
      <w:marTop w:val="0"/>
      <w:marBottom w:val="0"/>
      <w:divBdr>
        <w:top w:val="none" w:sz="0" w:space="0" w:color="auto"/>
        <w:left w:val="none" w:sz="0" w:space="0" w:color="auto"/>
        <w:bottom w:val="none" w:sz="0" w:space="0" w:color="auto"/>
        <w:right w:val="none" w:sz="0" w:space="0" w:color="auto"/>
      </w:divBdr>
    </w:div>
    <w:div w:id="1091202735">
      <w:bodyDiv w:val="1"/>
      <w:marLeft w:val="0"/>
      <w:marRight w:val="0"/>
      <w:marTop w:val="0"/>
      <w:marBottom w:val="0"/>
      <w:divBdr>
        <w:top w:val="none" w:sz="0" w:space="0" w:color="auto"/>
        <w:left w:val="none" w:sz="0" w:space="0" w:color="auto"/>
        <w:bottom w:val="none" w:sz="0" w:space="0" w:color="auto"/>
        <w:right w:val="none" w:sz="0" w:space="0" w:color="auto"/>
      </w:divBdr>
    </w:div>
    <w:div w:id="168586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ro.deakin.edu.au/view/DU:30060477"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dro.deakin.edu.au/view/DU:30060694" TargetMode="External"/><Relationship Id="rId11" Type="http://schemas.openxmlformats.org/officeDocument/2006/relationships/hyperlink" Target="http://dro.deakin.edu.au/view/DU:30060698" TargetMode="External"/><Relationship Id="rId12" Type="http://schemas.openxmlformats.org/officeDocument/2006/relationships/hyperlink" Target="file:///C:/Users/Home/Downloads/D2DCRC%20public%20version.pdf" TargetMode="External"/><Relationship Id="rId13" Type="http://schemas.openxmlformats.org/officeDocument/2006/relationships/hyperlink" Target="http://www.ialmh.org/template.cgi" TargetMode="External"/><Relationship Id="rId14" Type="http://schemas.openxmlformats.org/officeDocument/2006/relationships/hyperlink" Target="mailto:roger.horn@deakin.edu.au" TargetMode="External"/><Relationship Id="rId15" Type="http://schemas.openxmlformats.org/officeDocument/2006/relationships/hyperlink" Target="http://www.humanities.org.au/Grants/InternationalProgrammes/HumanitiesTravellingFellowships.aspx" TargetMode="External"/><Relationship Id="rId16" Type="http://schemas.openxmlformats.org/officeDocument/2006/relationships/hyperlink" Target="http://www.humanities.org.au/Grants/PublicationSubsidyScheme.aspx" TargetMode="External"/><Relationship Id="rId17" Type="http://schemas.openxmlformats.org/officeDocument/2006/relationships/hyperlink" Target="http://www.humanities.org.au/Grants/InternationalProgrammes/ErnstandRosemarieKellerAward.aspx" TargetMode="External"/><Relationship Id="rId18" Type="http://schemas.openxmlformats.org/officeDocument/2006/relationships/hyperlink" Target="mailto:grants@humanities.org.au" TargetMode="External"/><Relationship Id="rId19" Type="http://schemas.openxmlformats.org/officeDocument/2006/relationships/hyperlink" Target="http://www.humanities.org.a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ro.deakin.edu.au/view/DU:3006043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3932</Words>
  <Characters>22416</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26296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Samantha Hepburn</cp:lastModifiedBy>
  <cp:revision>2</cp:revision>
  <dcterms:created xsi:type="dcterms:W3CDTF">2014-10-08T05:22:00Z</dcterms:created>
  <dcterms:modified xsi:type="dcterms:W3CDTF">2014-10-08T05:22:00Z</dcterms:modified>
</cp:coreProperties>
</file>