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032" w:rsidRPr="00EA283C" w:rsidRDefault="000F1032" w:rsidP="000F1032">
      <w:pPr>
        <w:keepLines/>
        <w:spacing w:before="40" w:after="120" w:line="280" w:lineRule="atLeast"/>
        <w:ind w:left="414" w:firstLine="720"/>
        <w:jc w:val="center"/>
        <w:rPr>
          <w:rFonts w:eastAsiaTheme="minorEastAsia" w:cstheme="minorHAnsi"/>
          <w:b/>
          <w:color w:val="002060"/>
          <w:sz w:val="44"/>
          <w:szCs w:val="44"/>
          <w:u w:color="000000"/>
          <w:lang w:val="en-US"/>
        </w:rPr>
      </w:pPr>
      <w:r w:rsidRPr="00EA283C">
        <w:rPr>
          <w:rFonts w:eastAsiaTheme="majorEastAsia" w:cstheme="minorHAnsi"/>
          <w:b/>
          <w:bCs/>
          <w:color w:val="002060"/>
          <w:spacing w:val="20"/>
          <w:sz w:val="44"/>
          <w:szCs w:val="44"/>
          <w:u w:color="000000"/>
        </w:rPr>
        <w:t>DEAKIN UNIVERSITY</w:t>
      </w:r>
    </w:p>
    <w:p w:rsidR="000F1032" w:rsidRPr="00EA283C" w:rsidRDefault="000F1032" w:rsidP="000F1032">
      <w:pPr>
        <w:keepLines/>
        <w:spacing w:before="40" w:after="120" w:line="280" w:lineRule="atLeast"/>
        <w:ind w:left="414" w:firstLine="720"/>
        <w:jc w:val="center"/>
        <w:rPr>
          <w:rFonts w:eastAsiaTheme="minorEastAsia" w:cstheme="minorHAnsi"/>
          <w:b/>
          <w:color w:val="002060"/>
          <w:sz w:val="40"/>
          <w:szCs w:val="40"/>
          <w:u w:color="000000"/>
          <w:lang w:val="en-US"/>
        </w:rPr>
      </w:pPr>
      <w:r w:rsidRPr="00EA283C">
        <w:rPr>
          <w:rFonts w:eastAsiaTheme="majorEastAsia" w:cstheme="minorHAnsi"/>
          <w:b/>
          <w:bCs/>
          <w:color w:val="002060"/>
          <w:spacing w:val="20"/>
          <w:sz w:val="40"/>
          <w:szCs w:val="40"/>
          <w:u w:color="000000"/>
        </w:rPr>
        <w:t>SCH</w:t>
      </w:r>
      <w:r>
        <w:rPr>
          <w:rFonts w:eastAsiaTheme="majorEastAsia" w:cstheme="minorHAnsi"/>
          <w:b/>
          <w:bCs/>
          <w:color w:val="002060"/>
          <w:spacing w:val="20"/>
          <w:sz w:val="40"/>
          <w:szCs w:val="40"/>
          <w:u w:color="000000"/>
        </w:rPr>
        <w:t>OOL OF LAW RESEARCH REPORT No 24</w:t>
      </w:r>
      <w:r w:rsidRPr="00EA283C">
        <w:rPr>
          <w:rFonts w:eastAsiaTheme="majorEastAsia" w:cstheme="minorHAnsi"/>
          <w:b/>
          <w:bCs/>
          <w:color w:val="002060"/>
          <w:spacing w:val="20"/>
          <w:sz w:val="40"/>
          <w:szCs w:val="40"/>
          <w:u w:color="000000"/>
        </w:rPr>
        <w:t xml:space="preserve"> </w:t>
      </w:r>
    </w:p>
    <w:p w:rsidR="000F1032" w:rsidRPr="00EA283C" w:rsidRDefault="000F1032" w:rsidP="000F1032">
      <w:pPr>
        <w:keepLines/>
        <w:spacing w:before="40" w:after="120" w:line="280" w:lineRule="atLeast"/>
        <w:ind w:left="414" w:firstLine="720"/>
        <w:jc w:val="center"/>
        <w:rPr>
          <w:rFonts w:eastAsiaTheme="majorEastAsia" w:cstheme="minorHAnsi"/>
          <w:b/>
          <w:bCs/>
          <w:color w:val="002060"/>
          <w:spacing w:val="20"/>
          <w:sz w:val="32"/>
          <w:szCs w:val="28"/>
          <w:u w:color="000000"/>
        </w:rPr>
      </w:pPr>
      <w:r>
        <w:rPr>
          <w:rFonts w:eastAsiaTheme="majorEastAsia" w:cstheme="minorHAnsi"/>
          <w:b/>
          <w:bCs/>
          <w:color w:val="002060"/>
          <w:spacing w:val="20"/>
          <w:sz w:val="32"/>
          <w:szCs w:val="28"/>
          <w:u w:color="000000"/>
        </w:rPr>
        <w:t>24</w:t>
      </w:r>
      <w:r w:rsidRPr="00EA283C">
        <w:rPr>
          <w:rFonts w:eastAsiaTheme="majorEastAsia" w:cstheme="minorHAnsi"/>
          <w:b/>
          <w:bCs/>
          <w:color w:val="002060"/>
          <w:spacing w:val="20"/>
          <w:sz w:val="32"/>
          <w:szCs w:val="28"/>
          <w:u w:color="000000"/>
        </w:rPr>
        <w:t>/12/2013</w:t>
      </w:r>
    </w:p>
    <w:p w:rsidR="000F1032" w:rsidRDefault="000F1032" w:rsidP="000F1032">
      <w:pPr>
        <w:keepLines/>
        <w:spacing w:before="40" w:after="120" w:line="280" w:lineRule="atLeast"/>
        <w:ind w:left="414" w:firstLine="720"/>
        <w:jc w:val="center"/>
        <w:rPr>
          <w:rFonts w:eastAsiaTheme="majorEastAsia" w:cstheme="minorHAnsi"/>
          <w:b/>
          <w:bCs/>
          <w:color w:val="000000"/>
          <w:spacing w:val="20"/>
          <w:sz w:val="32"/>
          <w:szCs w:val="28"/>
          <w:u w:color="000000"/>
        </w:rPr>
      </w:pPr>
    </w:p>
    <w:p w:rsidR="000F1032" w:rsidRDefault="000F1032" w:rsidP="000F1032">
      <w:pPr>
        <w:keepLines/>
        <w:spacing w:before="40" w:after="120" w:line="280" w:lineRule="atLeast"/>
        <w:ind w:left="414" w:firstLine="720"/>
        <w:jc w:val="center"/>
        <w:rPr>
          <w:rFonts w:eastAsiaTheme="minorEastAsia" w:cstheme="minorHAnsi"/>
          <w:b/>
          <w:color w:val="C00000"/>
          <w:sz w:val="28"/>
          <w:szCs w:val="28"/>
          <w:u w:color="000000"/>
          <w:lang w:val="en-US"/>
        </w:rPr>
      </w:pPr>
      <w:r w:rsidRPr="00073F83">
        <w:rPr>
          <w:rFonts w:eastAsiaTheme="minorEastAsia" w:cstheme="minorHAnsi"/>
          <w:b/>
          <w:color w:val="C00000"/>
          <w:sz w:val="28"/>
          <w:szCs w:val="28"/>
          <w:u w:color="000000"/>
          <w:lang w:val="en-US"/>
        </w:rPr>
        <w:t>RECENT PUBLICATIONS</w:t>
      </w:r>
    </w:p>
    <w:p w:rsidR="000F1032" w:rsidRDefault="000F1032" w:rsidP="000F1032">
      <w:pPr>
        <w:keepLines/>
        <w:spacing w:before="40" w:after="120" w:line="280" w:lineRule="atLeast"/>
        <w:ind w:left="414" w:firstLine="720"/>
        <w:rPr>
          <w:rFonts w:eastAsiaTheme="minorEastAsia" w:cstheme="minorHAnsi"/>
          <w:b/>
          <w:color w:val="7030A0"/>
          <w:sz w:val="24"/>
          <w:szCs w:val="24"/>
          <w:u w:color="000000"/>
          <w:lang w:val="en-US"/>
        </w:rPr>
      </w:pPr>
      <w:r w:rsidRPr="00073F83">
        <w:rPr>
          <w:rFonts w:eastAsiaTheme="minorEastAsia" w:cstheme="minorHAnsi"/>
          <w:b/>
          <w:color w:val="7030A0"/>
          <w:sz w:val="24"/>
          <w:szCs w:val="24"/>
          <w:u w:color="000000"/>
          <w:lang w:val="en-US"/>
        </w:rPr>
        <w:t>Congratulations to the author of the following recent publication:</w:t>
      </w:r>
    </w:p>
    <w:p w:rsidR="00C85D02" w:rsidRPr="00C85D02" w:rsidRDefault="005016B2" w:rsidP="00C85D02">
      <w:pPr>
        <w:keepNext/>
        <w:keepLines/>
        <w:numPr>
          <w:ilvl w:val="1"/>
          <w:numId w:val="1"/>
        </w:numPr>
        <w:spacing w:after="0" w:line="280" w:lineRule="atLeast"/>
        <w:outlineLvl w:val="1"/>
        <w:rPr>
          <w:rFonts w:eastAsiaTheme="minorEastAsia" w:cstheme="minorHAnsi"/>
          <w:color w:val="002060"/>
          <w:sz w:val="24"/>
          <w:szCs w:val="24"/>
          <w:u w:color="000000"/>
          <w:lang w:val="en-US"/>
        </w:rPr>
      </w:pPr>
      <w:r w:rsidRPr="00E50832">
        <w:rPr>
          <w:rFonts w:eastAsiaTheme="minorEastAsia" w:cstheme="minorHAnsi"/>
          <w:b/>
          <w:color w:val="C00000"/>
          <w:sz w:val="24"/>
          <w:szCs w:val="24"/>
          <w:lang w:val="en-US"/>
        </w:rPr>
        <w:t>Lang Thai</w:t>
      </w:r>
      <w:r w:rsidRPr="00C85D02">
        <w:rPr>
          <w:rFonts w:eastAsiaTheme="minorEastAsia" w:cstheme="minorHAnsi"/>
          <w:color w:val="002060"/>
          <w:sz w:val="24"/>
          <w:szCs w:val="24"/>
          <w:lang w:val="en-US"/>
        </w:rPr>
        <w:t xml:space="preserve">, “Calling for reform to the statutory derivative action in Australia: Critical analysis and suggestions for reform” (2013) 21 </w:t>
      </w:r>
      <w:r w:rsidRPr="00C85D02">
        <w:rPr>
          <w:rFonts w:eastAsiaTheme="minorEastAsia" w:cstheme="minorHAnsi"/>
          <w:i/>
          <w:color w:val="002060"/>
          <w:sz w:val="24"/>
          <w:szCs w:val="24"/>
          <w:lang w:val="en-US"/>
        </w:rPr>
        <w:t>Insolvency Law Journal</w:t>
      </w:r>
      <w:r w:rsidRPr="00C85D02">
        <w:rPr>
          <w:rFonts w:eastAsiaTheme="minorEastAsia" w:cstheme="minorHAnsi"/>
          <w:color w:val="002060"/>
          <w:sz w:val="24"/>
          <w:szCs w:val="24"/>
          <w:lang w:val="en-US"/>
        </w:rPr>
        <w:t xml:space="preserve"> 242-262. [C1] </w:t>
      </w:r>
    </w:p>
    <w:p w:rsidR="00C85D02" w:rsidRPr="00C85D02" w:rsidRDefault="00C85D02" w:rsidP="005016B2">
      <w:pPr>
        <w:keepNext/>
        <w:keepLines/>
        <w:numPr>
          <w:ilvl w:val="1"/>
          <w:numId w:val="1"/>
        </w:numPr>
        <w:spacing w:after="0" w:line="280" w:lineRule="atLeast"/>
        <w:outlineLvl w:val="1"/>
        <w:rPr>
          <w:rFonts w:eastAsiaTheme="minorEastAsia" w:cstheme="minorHAnsi"/>
          <w:b/>
          <w:color w:val="002060"/>
          <w:sz w:val="16"/>
          <w:szCs w:val="16"/>
          <w:u w:color="000000"/>
          <w:lang w:val="en-US"/>
        </w:rPr>
      </w:pPr>
    </w:p>
    <w:p w:rsidR="005016B2" w:rsidRPr="003C3314" w:rsidRDefault="005016B2" w:rsidP="005016B2">
      <w:pPr>
        <w:keepNext/>
        <w:keepLines/>
        <w:numPr>
          <w:ilvl w:val="1"/>
          <w:numId w:val="1"/>
        </w:numPr>
        <w:spacing w:after="0" w:line="280" w:lineRule="atLeast"/>
        <w:outlineLvl w:val="1"/>
        <w:rPr>
          <w:rFonts w:eastAsiaTheme="minorEastAsia" w:cstheme="minorHAnsi"/>
          <w:b/>
          <w:color w:val="002060"/>
          <w:sz w:val="28"/>
          <w:szCs w:val="28"/>
          <w:u w:color="000000"/>
          <w:lang w:val="en-US"/>
        </w:rPr>
      </w:pPr>
      <w:r w:rsidRPr="003C3314">
        <w:rPr>
          <w:rFonts w:eastAsiaTheme="minorEastAsia" w:cstheme="minorHAnsi"/>
          <w:b/>
          <w:color w:val="002060"/>
          <w:sz w:val="28"/>
          <w:szCs w:val="28"/>
          <w:u w:color="000000"/>
          <w:lang w:val="en-US"/>
        </w:rPr>
        <w:t xml:space="preserve">SNAPSHOT OF THE LAW SCHOOL’S </w:t>
      </w:r>
      <w:r w:rsidR="003C3314" w:rsidRPr="003C3314">
        <w:rPr>
          <w:rFonts w:eastAsiaTheme="minorEastAsia" w:cstheme="minorHAnsi"/>
          <w:b/>
          <w:color w:val="002060"/>
          <w:sz w:val="28"/>
          <w:szCs w:val="28"/>
          <w:u w:color="000000"/>
          <w:lang w:val="en-US"/>
        </w:rPr>
        <w:t xml:space="preserve">RESEARCH </w:t>
      </w:r>
      <w:r w:rsidRPr="003C3314">
        <w:rPr>
          <w:rFonts w:eastAsiaTheme="minorEastAsia" w:cstheme="minorHAnsi"/>
          <w:b/>
          <w:color w:val="002060"/>
          <w:sz w:val="28"/>
          <w:szCs w:val="28"/>
          <w:u w:color="000000"/>
          <w:lang w:val="en-US"/>
        </w:rPr>
        <w:t xml:space="preserve">ACHIEVEMENTS IN 2013 </w:t>
      </w:r>
    </w:p>
    <w:p w:rsidR="005016B2" w:rsidRPr="003C3314" w:rsidRDefault="005016B2" w:rsidP="005016B2">
      <w:pPr>
        <w:keepNext/>
        <w:keepLines/>
        <w:numPr>
          <w:ilvl w:val="1"/>
          <w:numId w:val="1"/>
        </w:numPr>
        <w:spacing w:after="0" w:line="280" w:lineRule="atLeast"/>
        <w:outlineLvl w:val="1"/>
        <w:rPr>
          <w:rFonts w:eastAsiaTheme="minorEastAsia" w:cstheme="minorHAnsi"/>
          <w:color w:val="002060"/>
          <w:sz w:val="24"/>
          <w:szCs w:val="24"/>
          <w:u w:color="000000"/>
          <w:lang w:val="en-US"/>
        </w:rPr>
      </w:pPr>
      <w:r w:rsidRPr="003C3314">
        <w:rPr>
          <w:rFonts w:eastAsiaTheme="minorEastAsia" w:cstheme="minorHAnsi"/>
          <w:color w:val="002060"/>
          <w:sz w:val="24"/>
          <w:szCs w:val="24"/>
          <w:lang w:val="en-US"/>
        </w:rPr>
        <w:t xml:space="preserve">The Law School is on track to achieve, and most probably exceed its 2013 its Faculty publications targets. </w:t>
      </w:r>
    </w:p>
    <w:p w:rsidR="005016B2" w:rsidRPr="00E50832" w:rsidRDefault="005016B2" w:rsidP="005016B2">
      <w:pPr>
        <w:keepNext/>
        <w:keepLines/>
        <w:numPr>
          <w:ilvl w:val="1"/>
          <w:numId w:val="1"/>
        </w:numPr>
        <w:spacing w:after="0" w:line="280" w:lineRule="atLeast"/>
        <w:outlineLvl w:val="1"/>
        <w:rPr>
          <w:rFonts w:eastAsiaTheme="minorEastAsia" w:cstheme="minorHAnsi"/>
          <w:color w:val="7030A0"/>
          <w:sz w:val="24"/>
          <w:szCs w:val="24"/>
          <w:u w:color="000000"/>
          <w:lang w:val="en-US"/>
        </w:rPr>
      </w:pPr>
      <w:r w:rsidRPr="00E50832">
        <w:rPr>
          <w:rFonts w:eastAsiaTheme="minorEastAsia" w:cstheme="minorHAnsi"/>
          <w:color w:val="7030A0"/>
          <w:sz w:val="24"/>
          <w:szCs w:val="24"/>
          <w:lang w:val="en-US"/>
        </w:rPr>
        <w:t xml:space="preserve">Nearly all </w:t>
      </w:r>
      <w:r w:rsidRPr="00E50832">
        <w:rPr>
          <w:rFonts w:eastAsiaTheme="minorEastAsia" w:cstheme="minorHAnsi"/>
          <w:b/>
          <w:color w:val="7030A0"/>
          <w:sz w:val="24"/>
          <w:szCs w:val="24"/>
          <w:lang w:val="en-US"/>
        </w:rPr>
        <w:t xml:space="preserve">books </w:t>
      </w:r>
      <w:r w:rsidRPr="00E50832">
        <w:rPr>
          <w:rFonts w:eastAsiaTheme="minorEastAsia" w:cstheme="minorHAnsi"/>
          <w:color w:val="7030A0"/>
          <w:sz w:val="24"/>
          <w:szCs w:val="24"/>
          <w:lang w:val="en-US"/>
        </w:rPr>
        <w:t xml:space="preserve">and </w:t>
      </w:r>
      <w:r w:rsidRPr="00E50832">
        <w:rPr>
          <w:rFonts w:eastAsiaTheme="minorEastAsia" w:cstheme="minorHAnsi"/>
          <w:b/>
          <w:color w:val="7030A0"/>
          <w:sz w:val="24"/>
          <w:szCs w:val="24"/>
          <w:lang w:val="en-US"/>
        </w:rPr>
        <w:t>book chapters</w:t>
      </w:r>
      <w:r w:rsidRPr="00E50832">
        <w:rPr>
          <w:rFonts w:eastAsiaTheme="minorEastAsia" w:cstheme="minorHAnsi"/>
          <w:color w:val="7030A0"/>
          <w:sz w:val="24"/>
          <w:szCs w:val="24"/>
          <w:lang w:val="en-US"/>
        </w:rPr>
        <w:t xml:space="preserve"> in 2013 were published by top national and International publishers: Oxford, Cambridge, Cavendish; Springer; Thompson Reuters; Routledge; </w:t>
      </w:r>
      <w:proofErr w:type="spellStart"/>
      <w:r w:rsidRPr="00E50832">
        <w:rPr>
          <w:rFonts w:eastAsiaTheme="minorEastAsia" w:cstheme="minorHAnsi"/>
          <w:color w:val="7030A0"/>
          <w:sz w:val="24"/>
          <w:szCs w:val="24"/>
          <w:lang w:val="en-US"/>
        </w:rPr>
        <w:t>Ashgate</w:t>
      </w:r>
      <w:proofErr w:type="spellEnd"/>
      <w:r w:rsidRPr="00E50832">
        <w:rPr>
          <w:rFonts w:eastAsiaTheme="minorEastAsia" w:cstheme="minorHAnsi"/>
          <w:color w:val="7030A0"/>
          <w:sz w:val="24"/>
          <w:szCs w:val="24"/>
          <w:lang w:val="en-US"/>
        </w:rPr>
        <w:t>; Melbourne University Press; Sweet &amp; Maxwell</w:t>
      </w:r>
    </w:p>
    <w:p w:rsidR="005016B2" w:rsidRPr="00E50832" w:rsidRDefault="005016B2" w:rsidP="005016B2">
      <w:pPr>
        <w:keepNext/>
        <w:keepLines/>
        <w:numPr>
          <w:ilvl w:val="1"/>
          <w:numId w:val="1"/>
        </w:numPr>
        <w:spacing w:after="0" w:line="280" w:lineRule="atLeast"/>
        <w:outlineLvl w:val="1"/>
        <w:rPr>
          <w:rFonts w:eastAsiaTheme="minorEastAsia" w:cstheme="minorHAnsi"/>
          <w:color w:val="7030A0"/>
          <w:sz w:val="16"/>
          <w:szCs w:val="16"/>
          <w:u w:color="000000"/>
          <w:lang w:val="en-US"/>
        </w:rPr>
      </w:pPr>
    </w:p>
    <w:p w:rsidR="005016B2" w:rsidRPr="00E50832" w:rsidRDefault="005016B2" w:rsidP="005016B2">
      <w:pPr>
        <w:keepNext/>
        <w:keepLines/>
        <w:numPr>
          <w:ilvl w:val="1"/>
          <w:numId w:val="1"/>
        </w:numPr>
        <w:spacing w:after="0" w:line="280" w:lineRule="atLeast"/>
        <w:outlineLvl w:val="1"/>
        <w:rPr>
          <w:rFonts w:eastAsiaTheme="minorEastAsia" w:cstheme="minorHAnsi"/>
          <w:color w:val="7030A0"/>
          <w:sz w:val="28"/>
          <w:szCs w:val="28"/>
          <w:u w:color="000000"/>
          <w:lang w:val="en-US"/>
        </w:rPr>
      </w:pPr>
      <w:r w:rsidRPr="00E50832">
        <w:rPr>
          <w:rFonts w:eastAsiaTheme="minorEastAsia" w:cstheme="minorHAnsi"/>
          <w:color w:val="7030A0"/>
          <w:sz w:val="24"/>
          <w:szCs w:val="24"/>
          <w:lang w:val="en-US"/>
        </w:rPr>
        <w:t xml:space="preserve">The majority of </w:t>
      </w:r>
      <w:r w:rsidRPr="00E50832">
        <w:rPr>
          <w:rFonts w:eastAsiaTheme="minorEastAsia" w:cstheme="minorHAnsi"/>
          <w:b/>
          <w:color w:val="7030A0"/>
          <w:sz w:val="24"/>
          <w:szCs w:val="24"/>
          <w:lang w:val="en-US"/>
        </w:rPr>
        <w:t>articles</w:t>
      </w:r>
      <w:r w:rsidRPr="00E50832">
        <w:rPr>
          <w:rFonts w:eastAsiaTheme="minorEastAsia" w:cstheme="minorHAnsi"/>
          <w:color w:val="7030A0"/>
          <w:sz w:val="24"/>
          <w:szCs w:val="24"/>
          <w:lang w:val="en-US"/>
        </w:rPr>
        <w:t xml:space="preserve"> published in 2013 appeared in prestigious national and international journals. The quality of research has been outstanding.</w:t>
      </w:r>
    </w:p>
    <w:p w:rsidR="005016B2" w:rsidRPr="00C85D02" w:rsidRDefault="005016B2" w:rsidP="005016B2">
      <w:pPr>
        <w:keepNext/>
        <w:keepLines/>
        <w:numPr>
          <w:ilvl w:val="1"/>
          <w:numId w:val="1"/>
        </w:numPr>
        <w:spacing w:after="0" w:line="280" w:lineRule="atLeast"/>
        <w:outlineLvl w:val="1"/>
        <w:rPr>
          <w:rFonts w:eastAsiaTheme="minorEastAsia" w:cstheme="minorHAnsi"/>
          <w:color w:val="0070C0"/>
          <w:sz w:val="16"/>
          <w:szCs w:val="16"/>
          <w:u w:color="000000"/>
          <w:lang w:val="en-US"/>
        </w:rPr>
      </w:pPr>
    </w:p>
    <w:p w:rsidR="005016B2" w:rsidRPr="003C3314" w:rsidRDefault="005016B2" w:rsidP="005016B2">
      <w:pPr>
        <w:keepNext/>
        <w:keepLines/>
        <w:numPr>
          <w:ilvl w:val="1"/>
          <w:numId w:val="1"/>
        </w:numPr>
        <w:spacing w:after="0" w:line="280" w:lineRule="atLeast"/>
        <w:outlineLvl w:val="1"/>
        <w:rPr>
          <w:rFonts w:eastAsiaTheme="minorEastAsia" w:cstheme="minorHAnsi"/>
          <w:color w:val="002060"/>
          <w:sz w:val="28"/>
          <w:szCs w:val="28"/>
          <w:u w:color="000000"/>
          <w:lang w:val="en-US"/>
        </w:rPr>
      </w:pPr>
      <w:r w:rsidRPr="003C3314">
        <w:rPr>
          <w:rFonts w:eastAsiaTheme="minorEastAsia" w:cstheme="minorHAnsi"/>
          <w:color w:val="002060"/>
          <w:sz w:val="24"/>
          <w:szCs w:val="24"/>
          <w:u w:color="000000"/>
          <w:lang w:val="en-US"/>
        </w:rPr>
        <w:t>HDR candidates have become an integral part of the Law School’s scholarship endeavour and culture</w:t>
      </w:r>
      <w:r w:rsidR="003C3314">
        <w:rPr>
          <w:rFonts w:eastAsiaTheme="minorEastAsia" w:cstheme="minorHAnsi"/>
          <w:color w:val="002060"/>
          <w:sz w:val="24"/>
          <w:szCs w:val="24"/>
          <w:u w:color="000000"/>
          <w:lang w:val="en-US"/>
        </w:rPr>
        <w:t>.</w:t>
      </w:r>
    </w:p>
    <w:p w:rsidR="00C85D02" w:rsidRPr="00C85D02" w:rsidRDefault="00C85D02" w:rsidP="000F1032">
      <w:pPr>
        <w:keepNext/>
        <w:keepLines/>
        <w:numPr>
          <w:ilvl w:val="1"/>
          <w:numId w:val="1"/>
        </w:numPr>
        <w:spacing w:after="0" w:line="280" w:lineRule="atLeast"/>
        <w:outlineLvl w:val="1"/>
        <w:rPr>
          <w:rFonts w:eastAsiaTheme="minorEastAsia" w:cstheme="minorHAnsi"/>
          <w:color w:val="0070C0"/>
          <w:sz w:val="16"/>
          <w:szCs w:val="16"/>
          <w:u w:color="000000"/>
          <w:lang w:val="en-US"/>
        </w:rPr>
      </w:pPr>
    </w:p>
    <w:p w:rsidR="000F1032" w:rsidRPr="000F1032" w:rsidRDefault="000F1032" w:rsidP="000F1032">
      <w:pPr>
        <w:keepNext/>
        <w:keepLines/>
        <w:numPr>
          <w:ilvl w:val="1"/>
          <w:numId w:val="1"/>
        </w:numPr>
        <w:spacing w:after="0" w:line="280" w:lineRule="atLeast"/>
        <w:outlineLvl w:val="1"/>
        <w:rPr>
          <w:rFonts w:eastAsiaTheme="minorEastAsia" w:cstheme="minorHAnsi"/>
          <w:color w:val="0070C0"/>
          <w:sz w:val="28"/>
          <w:szCs w:val="28"/>
          <w:u w:color="000000"/>
          <w:lang w:val="en-US"/>
        </w:rPr>
      </w:pPr>
      <w:r>
        <w:rPr>
          <w:rFonts w:eastAsiaTheme="minorEastAsia" w:cstheme="minorHAnsi"/>
          <w:b/>
          <w:color w:val="C00000"/>
          <w:sz w:val="28"/>
          <w:szCs w:val="28"/>
          <w:u w:color="000000"/>
          <w:lang w:val="en-US"/>
        </w:rPr>
        <w:t xml:space="preserve">RESEARCH </w:t>
      </w:r>
      <w:r w:rsidRPr="009A189E">
        <w:rPr>
          <w:rFonts w:eastAsiaTheme="minorEastAsia" w:cstheme="minorHAnsi"/>
          <w:b/>
          <w:color w:val="C00000"/>
          <w:sz w:val="28"/>
          <w:szCs w:val="28"/>
          <w:u w:color="000000"/>
          <w:lang w:val="en-US"/>
        </w:rPr>
        <w:t xml:space="preserve">GRANTS </w:t>
      </w:r>
      <w:r>
        <w:rPr>
          <w:rFonts w:eastAsiaTheme="minorEastAsia" w:cstheme="minorHAnsi"/>
          <w:b/>
          <w:color w:val="C00000"/>
          <w:sz w:val="28"/>
          <w:szCs w:val="28"/>
          <w:u w:color="000000"/>
          <w:lang w:val="en-US"/>
        </w:rPr>
        <w:t>IN 2013</w:t>
      </w:r>
    </w:p>
    <w:p w:rsidR="00442341" w:rsidRPr="00C85D02" w:rsidRDefault="00442341" w:rsidP="00C85D02">
      <w:pPr>
        <w:numPr>
          <w:ilvl w:val="2"/>
          <w:numId w:val="14"/>
        </w:numPr>
        <w:spacing w:before="120" w:after="0" w:line="240" w:lineRule="auto"/>
        <w:rPr>
          <w:rFonts w:cstheme="minorHAnsi"/>
          <w:color w:val="7030A0"/>
          <w:sz w:val="24"/>
          <w:szCs w:val="24"/>
        </w:rPr>
      </w:pPr>
      <w:r w:rsidRPr="00C85D02">
        <w:rPr>
          <w:rFonts w:cstheme="minorHAnsi"/>
          <w:b/>
          <w:color w:val="7030A0"/>
          <w:sz w:val="24"/>
          <w:szCs w:val="24"/>
        </w:rPr>
        <w:t>Prof Christoph Antons:</w:t>
      </w:r>
      <w:r w:rsidRPr="00C85D02">
        <w:rPr>
          <w:rFonts w:cstheme="minorHAnsi"/>
          <w:color w:val="7030A0"/>
          <w:sz w:val="24"/>
          <w:szCs w:val="24"/>
        </w:rPr>
        <w:t xml:space="preserve"> Project on 'IP in Asia' within the ARC Centre of Excellence for Creative Industries and Innovation: $30,000 in 2013. </w:t>
      </w:r>
    </w:p>
    <w:p w:rsidR="00442341" w:rsidRPr="00C85D02" w:rsidRDefault="00442341" w:rsidP="00C85D02">
      <w:pPr>
        <w:numPr>
          <w:ilvl w:val="2"/>
          <w:numId w:val="14"/>
        </w:numPr>
        <w:spacing w:before="120" w:after="0" w:line="240" w:lineRule="auto"/>
        <w:rPr>
          <w:rFonts w:cstheme="minorHAnsi"/>
          <w:color w:val="7030A0"/>
          <w:sz w:val="24"/>
          <w:szCs w:val="24"/>
        </w:rPr>
      </w:pPr>
      <w:r w:rsidRPr="00C85D02">
        <w:rPr>
          <w:rFonts w:cstheme="minorHAnsi"/>
          <w:b/>
          <w:color w:val="7030A0"/>
          <w:sz w:val="24"/>
          <w:szCs w:val="24"/>
        </w:rPr>
        <w:t>Prof Christoph Antons:</w:t>
      </w:r>
      <w:r w:rsidRPr="00C85D02">
        <w:rPr>
          <w:rFonts w:cstheme="minorHAnsi"/>
          <w:color w:val="7030A0"/>
          <w:sz w:val="24"/>
          <w:szCs w:val="24"/>
        </w:rPr>
        <w:t xml:space="preserve"> ARC Discovery project 'Intangible Cultural Heritage </w:t>
      </w:r>
      <w:proofErr w:type="gramStart"/>
      <w:r w:rsidRPr="00C85D02">
        <w:rPr>
          <w:rFonts w:cstheme="minorHAnsi"/>
          <w:color w:val="7030A0"/>
          <w:sz w:val="24"/>
          <w:szCs w:val="24"/>
        </w:rPr>
        <w:t>Across</w:t>
      </w:r>
      <w:proofErr w:type="gramEnd"/>
      <w:r w:rsidRPr="00C85D02">
        <w:rPr>
          <w:rFonts w:cstheme="minorHAnsi"/>
          <w:color w:val="7030A0"/>
          <w:sz w:val="24"/>
          <w:szCs w:val="24"/>
        </w:rPr>
        <w:t xml:space="preserve"> Borders: Laws. Structures and Strategies in China and its ASEAN Neighbours' (with Prof. Logan (Deakin), A/Prof. Warren (Murdoch) and Prof. Chen (La Trobe): $100,000 in 2013.</w:t>
      </w:r>
    </w:p>
    <w:p w:rsidR="00442341" w:rsidRPr="00C85D02" w:rsidRDefault="00442341" w:rsidP="00C85D02">
      <w:pPr>
        <w:numPr>
          <w:ilvl w:val="2"/>
          <w:numId w:val="14"/>
        </w:numPr>
        <w:spacing w:before="120" w:after="0" w:line="240" w:lineRule="auto"/>
        <w:rPr>
          <w:rFonts w:cstheme="minorHAnsi"/>
          <w:color w:val="7030A0"/>
          <w:sz w:val="24"/>
          <w:szCs w:val="24"/>
        </w:rPr>
      </w:pPr>
      <w:r w:rsidRPr="00C85D02">
        <w:rPr>
          <w:rFonts w:cstheme="minorHAnsi"/>
          <w:b/>
          <w:color w:val="7030A0"/>
          <w:sz w:val="24"/>
          <w:szCs w:val="24"/>
        </w:rPr>
        <w:t>Prof Jean du Plessis:</w:t>
      </w:r>
      <w:r w:rsidRPr="00C85D02">
        <w:rPr>
          <w:rFonts w:cstheme="minorHAnsi"/>
          <w:color w:val="7030A0"/>
          <w:sz w:val="24"/>
          <w:szCs w:val="24"/>
        </w:rPr>
        <w:t xml:space="preserve"> </w:t>
      </w:r>
      <w:proofErr w:type="spellStart"/>
      <w:r w:rsidRPr="00C85D02">
        <w:rPr>
          <w:rFonts w:cstheme="minorHAnsi"/>
          <w:color w:val="7030A0"/>
          <w:sz w:val="24"/>
          <w:szCs w:val="24"/>
        </w:rPr>
        <w:t>Anneliese</w:t>
      </w:r>
      <w:proofErr w:type="spellEnd"/>
      <w:r w:rsidRPr="00C85D02">
        <w:rPr>
          <w:rFonts w:cstheme="minorHAnsi"/>
          <w:color w:val="7030A0"/>
          <w:sz w:val="24"/>
          <w:szCs w:val="24"/>
        </w:rPr>
        <w:t xml:space="preserve"> Maier Research Award from the German Alexander von Humboldt Foundation (</w:t>
      </w:r>
      <w:hyperlink r:id="rId8" w:history="1">
        <w:r w:rsidRPr="00C85D02">
          <w:rPr>
            <w:rStyle w:val="Hyperlink"/>
            <w:rFonts w:cstheme="minorHAnsi"/>
            <w:sz w:val="24"/>
            <w:szCs w:val="24"/>
          </w:rPr>
          <w:t>http://www.humboldt-foundation.de/web/anneliese-maier-award.html</w:t>
        </w:r>
      </w:hyperlink>
      <w:r w:rsidRPr="00C85D02">
        <w:rPr>
          <w:rFonts w:cstheme="minorHAnsi"/>
          <w:color w:val="7030A0"/>
          <w:sz w:val="24"/>
          <w:szCs w:val="24"/>
        </w:rPr>
        <w:t>) of EUR 250,000 over 5 years (EUR 50,000 per year; 2013-2017)</w:t>
      </w:r>
    </w:p>
    <w:p w:rsidR="00442341" w:rsidRPr="00C85D02" w:rsidRDefault="00442341" w:rsidP="00C85D02">
      <w:pPr>
        <w:numPr>
          <w:ilvl w:val="2"/>
          <w:numId w:val="14"/>
        </w:numPr>
        <w:spacing w:before="120" w:after="0" w:line="240" w:lineRule="auto"/>
        <w:rPr>
          <w:rFonts w:cstheme="minorHAnsi"/>
          <w:color w:val="7030A0"/>
          <w:sz w:val="24"/>
          <w:szCs w:val="24"/>
        </w:rPr>
      </w:pPr>
      <w:r w:rsidRPr="00C85D02">
        <w:rPr>
          <w:rFonts w:cstheme="minorHAnsi"/>
          <w:b/>
          <w:color w:val="7030A0"/>
          <w:sz w:val="24"/>
          <w:szCs w:val="24"/>
        </w:rPr>
        <w:lastRenderedPageBreak/>
        <w:t>Richard Coverdale</w:t>
      </w:r>
      <w:r w:rsidRPr="00C85D02">
        <w:rPr>
          <w:rFonts w:cstheme="minorHAnsi"/>
          <w:color w:val="7030A0"/>
          <w:sz w:val="24"/>
          <w:szCs w:val="24"/>
        </w:rPr>
        <w:t xml:space="preserve"> of the Centre for Rural Regional Law and Justice: the Federal Attorney General’s funding allocation of $120,598 to support an interim secretariat position for the National Rural Law and Justice Alliance.</w:t>
      </w:r>
    </w:p>
    <w:p w:rsidR="00442341" w:rsidRPr="00C85D02" w:rsidRDefault="00442341" w:rsidP="00C85D02">
      <w:pPr>
        <w:numPr>
          <w:ilvl w:val="2"/>
          <w:numId w:val="14"/>
        </w:numPr>
        <w:spacing w:before="120" w:after="0" w:line="240" w:lineRule="auto"/>
        <w:rPr>
          <w:rFonts w:cstheme="minorHAnsi"/>
          <w:color w:val="7030A0"/>
          <w:sz w:val="24"/>
          <w:szCs w:val="24"/>
        </w:rPr>
      </w:pPr>
      <w:r w:rsidRPr="00C85D02">
        <w:rPr>
          <w:rFonts w:cstheme="minorHAnsi"/>
          <w:b/>
          <w:color w:val="7030A0"/>
          <w:sz w:val="24"/>
          <w:szCs w:val="24"/>
        </w:rPr>
        <w:t>Dr Lucinda Jordan</w:t>
      </w:r>
      <w:r w:rsidRPr="00C85D02">
        <w:rPr>
          <w:rFonts w:cstheme="minorHAnsi"/>
          <w:color w:val="7030A0"/>
          <w:sz w:val="24"/>
          <w:szCs w:val="24"/>
        </w:rPr>
        <w:t xml:space="preserve"> of the Centre for Rural Regional Law and Justice:  $36,106 for 2013 by the Alfred Felton Bequest (ANZ Trustees) to examine access to justice for women and children survivors of family violence in regional Victoria.</w:t>
      </w:r>
    </w:p>
    <w:p w:rsidR="00442341" w:rsidRPr="00C85D02" w:rsidRDefault="00442341" w:rsidP="00C85D02">
      <w:pPr>
        <w:numPr>
          <w:ilvl w:val="2"/>
          <w:numId w:val="14"/>
        </w:numPr>
        <w:spacing w:before="120" w:after="0" w:line="240" w:lineRule="auto"/>
        <w:rPr>
          <w:rFonts w:cstheme="minorHAnsi"/>
          <w:color w:val="7030A0"/>
          <w:sz w:val="24"/>
          <w:szCs w:val="24"/>
        </w:rPr>
      </w:pPr>
      <w:r w:rsidRPr="00C85D02">
        <w:rPr>
          <w:rFonts w:cstheme="minorHAnsi"/>
          <w:b/>
          <w:color w:val="7030A0"/>
          <w:sz w:val="24"/>
          <w:szCs w:val="24"/>
        </w:rPr>
        <w:t>Centre for Rural Regional Law and Justice</w:t>
      </w:r>
      <w:r w:rsidRPr="00C85D02">
        <w:rPr>
          <w:rFonts w:cstheme="minorHAnsi"/>
          <w:color w:val="7030A0"/>
          <w:sz w:val="24"/>
          <w:szCs w:val="24"/>
        </w:rPr>
        <w:t>: Conflict of Interest in Regional Legal Practice – State-wide research project examining variations in interpretation and consequences of conflict of interest in rural and regional legal practice. (Victoria Law Foundation $48K)</w:t>
      </w:r>
    </w:p>
    <w:p w:rsidR="00442341" w:rsidRPr="00C85D02" w:rsidRDefault="00442341" w:rsidP="00C85D02">
      <w:pPr>
        <w:numPr>
          <w:ilvl w:val="2"/>
          <w:numId w:val="14"/>
        </w:numPr>
        <w:spacing w:before="120" w:after="0" w:line="240" w:lineRule="auto"/>
        <w:rPr>
          <w:rFonts w:cstheme="minorHAnsi"/>
          <w:color w:val="7030A0"/>
          <w:sz w:val="24"/>
          <w:szCs w:val="24"/>
        </w:rPr>
      </w:pPr>
      <w:r w:rsidRPr="00C85D02">
        <w:rPr>
          <w:rFonts w:cstheme="minorHAnsi"/>
          <w:b/>
          <w:color w:val="7030A0"/>
          <w:sz w:val="24"/>
          <w:szCs w:val="24"/>
        </w:rPr>
        <w:t>Centre for Rural Regional Law and Justice</w:t>
      </w:r>
      <w:r w:rsidRPr="00C85D02">
        <w:rPr>
          <w:rFonts w:cstheme="minorHAnsi"/>
          <w:color w:val="7030A0"/>
          <w:sz w:val="24"/>
          <w:szCs w:val="24"/>
        </w:rPr>
        <w:t>: Barwon Region Family Violence Project – Examination of the application of intervention orders at Geelong regional courts. (Geelong Community Foundation $25K)</w:t>
      </w:r>
    </w:p>
    <w:p w:rsidR="00442341" w:rsidRPr="00C85D02" w:rsidRDefault="00442341" w:rsidP="00C85D02">
      <w:pPr>
        <w:numPr>
          <w:ilvl w:val="2"/>
          <w:numId w:val="14"/>
        </w:numPr>
        <w:spacing w:before="120" w:after="0" w:line="240" w:lineRule="auto"/>
        <w:rPr>
          <w:rFonts w:cstheme="minorHAnsi"/>
          <w:color w:val="7030A0"/>
          <w:sz w:val="24"/>
          <w:szCs w:val="24"/>
        </w:rPr>
      </w:pPr>
      <w:r w:rsidRPr="00C85D02">
        <w:rPr>
          <w:rFonts w:cstheme="minorHAnsi"/>
          <w:b/>
          <w:color w:val="7030A0"/>
          <w:sz w:val="24"/>
          <w:szCs w:val="24"/>
        </w:rPr>
        <w:t>Centre for Rural Regional Law and Justice</w:t>
      </w:r>
      <w:r w:rsidRPr="00C85D02">
        <w:rPr>
          <w:rFonts w:cstheme="minorHAnsi"/>
          <w:color w:val="7030A0"/>
          <w:sz w:val="24"/>
          <w:szCs w:val="24"/>
        </w:rPr>
        <w:t>: Learning and Development Project – review of current legal information priorities within regional Victoria and the remote delivery of information and training forums via video conferencing using 14 regional locations. (Legal Services Board $180K over 3 years)</w:t>
      </w:r>
    </w:p>
    <w:p w:rsidR="00442341" w:rsidRPr="00C85D02" w:rsidRDefault="00442341" w:rsidP="00C85D02">
      <w:pPr>
        <w:numPr>
          <w:ilvl w:val="2"/>
          <w:numId w:val="14"/>
        </w:numPr>
        <w:spacing w:before="120" w:after="0" w:line="240" w:lineRule="auto"/>
        <w:rPr>
          <w:rFonts w:cstheme="minorHAnsi"/>
          <w:color w:val="7030A0"/>
          <w:sz w:val="24"/>
          <w:szCs w:val="24"/>
        </w:rPr>
      </w:pPr>
      <w:r w:rsidRPr="00C85D02">
        <w:rPr>
          <w:rFonts w:cstheme="minorHAnsi"/>
          <w:b/>
          <w:color w:val="7030A0"/>
          <w:sz w:val="24"/>
          <w:szCs w:val="24"/>
        </w:rPr>
        <w:t>Centre for Rural Regional Law and Justice</w:t>
      </w:r>
      <w:r w:rsidRPr="00C85D02">
        <w:rPr>
          <w:rFonts w:cstheme="minorHAnsi"/>
          <w:color w:val="7030A0"/>
          <w:sz w:val="24"/>
          <w:szCs w:val="24"/>
        </w:rPr>
        <w:t>: Best Practice ICT delivery of legal information – This research project reviews various ITC delivery methods of legal information to regional communities, industry and professional bodies. (Telematics Trust $30K)</w:t>
      </w:r>
    </w:p>
    <w:p w:rsidR="00442341" w:rsidRPr="00C85D02" w:rsidRDefault="00442341" w:rsidP="00C85D02">
      <w:pPr>
        <w:numPr>
          <w:ilvl w:val="2"/>
          <w:numId w:val="14"/>
        </w:numPr>
        <w:spacing w:before="120" w:after="0" w:line="240" w:lineRule="auto"/>
        <w:rPr>
          <w:rFonts w:cstheme="minorHAnsi"/>
          <w:color w:val="7030A0"/>
          <w:sz w:val="24"/>
          <w:szCs w:val="24"/>
        </w:rPr>
      </w:pPr>
      <w:r w:rsidRPr="00C85D02">
        <w:rPr>
          <w:rFonts w:cstheme="minorHAnsi"/>
          <w:b/>
          <w:color w:val="7030A0"/>
          <w:sz w:val="24"/>
          <w:szCs w:val="24"/>
        </w:rPr>
        <w:t>Centre for Rural Regional Law and Justice</w:t>
      </w:r>
      <w:r w:rsidRPr="00C85D02">
        <w:rPr>
          <w:rFonts w:cstheme="minorHAnsi"/>
          <w:color w:val="7030A0"/>
          <w:sz w:val="24"/>
          <w:szCs w:val="24"/>
        </w:rPr>
        <w:t xml:space="preserve">: National Disability Scheme Advocacy Review </w:t>
      </w:r>
      <w:proofErr w:type="gramStart"/>
      <w:r w:rsidRPr="00C85D02">
        <w:rPr>
          <w:rFonts w:cstheme="minorHAnsi"/>
          <w:color w:val="7030A0"/>
          <w:sz w:val="24"/>
          <w:szCs w:val="24"/>
        </w:rPr>
        <w:t>-  A</w:t>
      </w:r>
      <w:proofErr w:type="gramEnd"/>
      <w:r w:rsidRPr="00C85D02">
        <w:rPr>
          <w:rFonts w:cstheme="minorHAnsi"/>
          <w:color w:val="7030A0"/>
          <w:sz w:val="24"/>
          <w:szCs w:val="24"/>
        </w:rPr>
        <w:t xml:space="preserve"> seeding grant to explore funding options and initiate collaborations with disability organisations to assist in the development of a formal advocacy review process in light of the introduction of the National Disability Insurance Scheme. (Faculty Research Grant $10K)</w:t>
      </w:r>
    </w:p>
    <w:p w:rsidR="00442341" w:rsidRPr="00C85D02" w:rsidRDefault="00442341" w:rsidP="00C85D02">
      <w:pPr>
        <w:numPr>
          <w:ilvl w:val="2"/>
          <w:numId w:val="14"/>
        </w:numPr>
        <w:spacing w:before="120" w:after="0" w:line="240" w:lineRule="auto"/>
        <w:rPr>
          <w:rFonts w:cstheme="minorHAnsi"/>
          <w:color w:val="7030A0"/>
          <w:sz w:val="24"/>
          <w:szCs w:val="24"/>
        </w:rPr>
      </w:pPr>
      <w:r w:rsidRPr="00C85D02">
        <w:rPr>
          <w:rFonts w:cstheme="minorHAnsi"/>
          <w:b/>
          <w:color w:val="7030A0"/>
          <w:sz w:val="24"/>
          <w:szCs w:val="24"/>
        </w:rPr>
        <w:t>Centre for Rural Regional Law and Justice</w:t>
      </w:r>
      <w:r w:rsidRPr="00C85D02">
        <w:rPr>
          <w:rFonts w:cstheme="minorHAnsi"/>
          <w:color w:val="7030A0"/>
          <w:sz w:val="24"/>
          <w:szCs w:val="24"/>
        </w:rPr>
        <w:t>: Establishment of the National Rural Law and Justice Alliance with a first year grant of $120,000 provided by the Federal Attorney Generals’ Department.</w:t>
      </w:r>
    </w:p>
    <w:p w:rsidR="00C85D02" w:rsidRPr="00C85D02" w:rsidRDefault="00C85D02" w:rsidP="00442341">
      <w:pPr>
        <w:keepNext/>
        <w:keepLines/>
        <w:numPr>
          <w:ilvl w:val="1"/>
          <w:numId w:val="1"/>
        </w:numPr>
        <w:spacing w:after="0" w:line="280" w:lineRule="atLeast"/>
        <w:outlineLvl w:val="1"/>
        <w:rPr>
          <w:rFonts w:eastAsiaTheme="minorEastAsia" w:cstheme="minorHAnsi"/>
          <w:b/>
          <w:color w:val="0070C0"/>
          <w:sz w:val="16"/>
          <w:szCs w:val="16"/>
          <w:u w:color="000000"/>
          <w:lang w:val="en-US"/>
        </w:rPr>
      </w:pPr>
    </w:p>
    <w:p w:rsidR="00442341" w:rsidRPr="00442341" w:rsidRDefault="00442341" w:rsidP="00442341">
      <w:pPr>
        <w:keepNext/>
        <w:keepLines/>
        <w:numPr>
          <w:ilvl w:val="1"/>
          <w:numId w:val="1"/>
        </w:numPr>
        <w:spacing w:after="0" w:line="280" w:lineRule="atLeast"/>
        <w:outlineLvl w:val="1"/>
        <w:rPr>
          <w:rFonts w:eastAsiaTheme="minorEastAsia" w:cstheme="minorHAnsi"/>
          <w:b/>
          <w:color w:val="0070C0"/>
          <w:sz w:val="28"/>
          <w:szCs w:val="28"/>
          <w:u w:color="000000"/>
          <w:lang w:val="en-US"/>
        </w:rPr>
      </w:pPr>
      <w:r w:rsidRPr="00442341">
        <w:rPr>
          <w:b/>
          <w:color w:val="C00000"/>
          <w:sz w:val="28"/>
          <w:szCs w:val="28"/>
        </w:rPr>
        <w:t>AWARDS</w:t>
      </w:r>
      <w:r w:rsidR="003C3314">
        <w:rPr>
          <w:b/>
          <w:color w:val="C00000"/>
          <w:sz w:val="28"/>
          <w:szCs w:val="28"/>
        </w:rPr>
        <w:t>,</w:t>
      </w:r>
      <w:r w:rsidR="003C3314" w:rsidRPr="003C3314">
        <w:rPr>
          <w:b/>
          <w:color w:val="C00000"/>
          <w:sz w:val="28"/>
          <w:szCs w:val="28"/>
        </w:rPr>
        <w:t xml:space="preserve"> </w:t>
      </w:r>
      <w:r w:rsidR="003C3314" w:rsidRPr="00442341">
        <w:rPr>
          <w:b/>
          <w:color w:val="C00000"/>
          <w:sz w:val="28"/>
          <w:szCs w:val="28"/>
        </w:rPr>
        <w:t>PRIZES</w:t>
      </w:r>
      <w:r w:rsidRPr="00442341">
        <w:rPr>
          <w:b/>
          <w:color w:val="C00000"/>
          <w:sz w:val="28"/>
          <w:szCs w:val="28"/>
        </w:rPr>
        <w:t xml:space="preserve"> AND OTHER ACHIEVEMENTS</w:t>
      </w:r>
      <w:r w:rsidRPr="00442341">
        <w:rPr>
          <w:rFonts w:eastAsiaTheme="minorEastAsia" w:cstheme="minorHAnsi"/>
          <w:b/>
          <w:color w:val="0070C0"/>
          <w:sz w:val="28"/>
          <w:szCs w:val="28"/>
          <w:u w:color="000000"/>
          <w:lang w:val="en-US"/>
        </w:rPr>
        <w:t xml:space="preserve"> </w:t>
      </w:r>
    </w:p>
    <w:p w:rsidR="00442341" w:rsidRPr="00C85D02" w:rsidRDefault="00442341" w:rsidP="00442341">
      <w:pPr>
        <w:numPr>
          <w:ilvl w:val="1"/>
          <w:numId w:val="14"/>
        </w:numPr>
        <w:spacing w:before="120" w:after="0" w:line="240" w:lineRule="auto"/>
        <w:rPr>
          <w:rFonts w:cstheme="minorHAnsi"/>
          <w:sz w:val="24"/>
          <w:szCs w:val="24"/>
        </w:rPr>
      </w:pPr>
      <w:r w:rsidRPr="00C85D02">
        <w:rPr>
          <w:rFonts w:cstheme="minorHAnsi"/>
          <w:b/>
          <w:color w:val="7030A0"/>
          <w:sz w:val="24"/>
          <w:szCs w:val="24"/>
        </w:rPr>
        <w:t>QS World University Rankings</w:t>
      </w:r>
      <w:r w:rsidRPr="00C85D02">
        <w:rPr>
          <w:rFonts w:cstheme="minorHAnsi"/>
          <w:color w:val="7030A0"/>
          <w:sz w:val="24"/>
          <w:szCs w:val="24"/>
        </w:rPr>
        <w:t xml:space="preserve"> has ranked the Deakin Law School in the top 100-150 law schools in the world. The ranking places the law School third in Victoria and equal 11th in Australia (ie in the top third of Australian Law Schools). Only 16 Australian law schools (out of 27) were ranked in the top 200.</w:t>
      </w:r>
      <w:r w:rsidRPr="00C85D02">
        <w:rPr>
          <w:rFonts w:cstheme="minorHAnsi"/>
          <w:sz w:val="24"/>
          <w:szCs w:val="24"/>
        </w:rPr>
        <w:t xml:space="preserve"> </w:t>
      </w:r>
      <w:hyperlink r:id="rId9" w:history="1">
        <w:r w:rsidRPr="00C85D02">
          <w:rPr>
            <w:rStyle w:val="Hyperlink"/>
            <w:rFonts w:cstheme="minorHAnsi"/>
            <w:sz w:val="24"/>
            <w:szCs w:val="24"/>
          </w:rPr>
          <w:t>http://www.topuniversities.com./university-rankings/university-subject-rankings/2013/law-and-legal-studies</w:t>
        </w:r>
      </w:hyperlink>
    </w:p>
    <w:p w:rsidR="00442341" w:rsidRPr="00C85D02" w:rsidRDefault="00442341" w:rsidP="00442341">
      <w:pPr>
        <w:spacing w:before="120" w:after="0"/>
        <w:ind w:left="1440"/>
        <w:rPr>
          <w:rFonts w:cstheme="minorHAnsi"/>
          <w:sz w:val="24"/>
          <w:szCs w:val="24"/>
        </w:rPr>
      </w:pPr>
      <w:r w:rsidRPr="00C85D02">
        <w:rPr>
          <w:rFonts w:cstheme="minorHAnsi"/>
          <w:color w:val="7030A0"/>
          <w:sz w:val="24"/>
          <w:szCs w:val="24"/>
        </w:rPr>
        <w:lastRenderedPageBreak/>
        <w:t xml:space="preserve">The QS rankings are based on several different criteria, including </w:t>
      </w:r>
      <w:r w:rsidRPr="00C85D02">
        <w:rPr>
          <w:rFonts w:cstheme="minorHAnsi"/>
          <w:b/>
          <w:color w:val="7030A0"/>
          <w:sz w:val="24"/>
          <w:szCs w:val="24"/>
        </w:rPr>
        <w:t>research</w:t>
      </w:r>
      <w:r w:rsidRPr="00C85D02">
        <w:rPr>
          <w:rFonts w:cstheme="minorHAnsi"/>
          <w:color w:val="7030A0"/>
          <w:sz w:val="24"/>
          <w:szCs w:val="24"/>
        </w:rPr>
        <w:t xml:space="preserve">, teaching, employability, </w:t>
      </w:r>
      <w:r w:rsidRPr="00C85D02">
        <w:rPr>
          <w:rFonts w:cstheme="minorHAnsi"/>
          <w:i/>
          <w:color w:val="7030A0"/>
          <w:sz w:val="24"/>
          <w:szCs w:val="24"/>
        </w:rPr>
        <w:t>facilities</w:t>
      </w:r>
      <w:r w:rsidRPr="00C85D02">
        <w:rPr>
          <w:rFonts w:cstheme="minorHAnsi"/>
          <w:color w:val="7030A0"/>
          <w:sz w:val="24"/>
          <w:szCs w:val="24"/>
        </w:rPr>
        <w:t>, internationalization and engagement.</w:t>
      </w:r>
      <w:r w:rsidRPr="00C85D02">
        <w:rPr>
          <w:rFonts w:cstheme="minorHAnsi"/>
          <w:sz w:val="24"/>
          <w:szCs w:val="24"/>
        </w:rPr>
        <w:t xml:space="preserve"> </w:t>
      </w:r>
      <w:hyperlink r:id="rId10" w:history="1">
        <w:r w:rsidRPr="00C85D02">
          <w:rPr>
            <w:rStyle w:val="Hyperlink"/>
            <w:rFonts w:cstheme="minorHAnsi"/>
            <w:sz w:val="24"/>
            <w:szCs w:val="24"/>
          </w:rPr>
          <w:t>http://www.iu.qs.com/university-rankings/subject-tables/</w:t>
        </w:r>
      </w:hyperlink>
      <w:r w:rsidRPr="00C85D02">
        <w:rPr>
          <w:rFonts w:cstheme="minorHAnsi"/>
          <w:sz w:val="24"/>
          <w:szCs w:val="24"/>
        </w:rPr>
        <w:t>?</w:t>
      </w:r>
    </w:p>
    <w:p w:rsidR="00442341" w:rsidRPr="00C85D02" w:rsidRDefault="00442341" w:rsidP="00442341">
      <w:pPr>
        <w:numPr>
          <w:ilvl w:val="1"/>
          <w:numId w:val="14"/>
        </w:numPr>
        <w:spacing w:before="120" w:after="0" w:line="240" w:lineRule="auto"/>
        <w:rPr>
          <w:rFonts w:cstheme="minorHAnsi"/>
          <w:color w:val="7030A0"/>
          <w:sz w:val="24"/>
          <w:szCs w:val="24"/>
        </w:rPr>
      </w:pPr>
      <w:r w:rsidRPr="00C85D02">
        <w:rPr>
          <w:rFonts w:cstheme="minorHAnsi"/>
          <w:b/>
          <w:color w:val="7030A0"/>
          <w:sz w:val="24"/>
          <w:szCs w:val="24"/>
        </w:rPr>
        <w:t>Professor Jean du Plessis</w:t>
      </w:r>
      <w:r w:rsidRPr="00C85D02">
        <w:rPr>
          <w:rFonts w:cstheme="minorHAnsi"/>
          <w:color w:val="7030A0"/>
          <w:sz w:val="24"/>
          <w:szCs w:val="24"/>
        </w:rPr>
        <w:t xml:space="preserve"> the </w:t>
      </w:r>
      <w:proofErr w:type="spellStart"/>
      <w:r w:rsidRPr="00C85D02">
        <w:rPr>
          <w:rFonts w:cstheme="minorHAnsi"/>
          <w:color w:val="7030A0"/>
          <w:sz w:val="24"/>
          <w:szCs w:val="24"/>
        </w:rPr>
        <w:t>Anneliese</w:t>
      </w:r>
      <w:proofErr w:type="spellEnd"/>
      <w:r w:rsidRPr="00C85D02">
        <w:rPr>
          <w:rFonts w:cstheme="minorHAnsi"/>
          <w:color w:val="7030A0"/>
          <w:sz w:val="24"/>
          <w:szCs w:val="24"/>
        </w:rPr>
        <w:t xml:space="preserve"> Maier Research Award from the German Alexander von Humboldt Foundation (see</w:t>
      </w:r>
      <w:r w:rsidRPr="00C85D02">
        <w:rPr>
          <w:rFonts w:cstheme="minorHAnsi"/>
          <w:sz w:val="24"/>
          <w:szCs w:val="24"/>
        </w:rPr>
        <w:t xml:space="preserve"> </w:t>
      </w:r>
      <w:r w:rsidRPr="00C85D02">
        <w:rPr>
          <w:rFonts w:cstheme="minorHAnsi"/>
          <w:color w:val="7030A0"/>
          <w:sz w:val="24"/>
          <w:szCs w:val="24"/>
        </w:rPr>
        <w:t>above)</w:t>
      </w:r>
      <w:r w:rsidRPr="00C85D02">
        <w:rPr>
          <w:rFonts w:cstheme="minorHAnsi"/>
          <w:sz w:val="24"/>
          <w:szCs w:val="24"/>
        </w:rPr>
        <w:t xml:space="preserve"> </w:t>
      </w:r>
    </w:p>
    <w:p w:rsidR="00442341" w:rsidRPr="00C85D02" w:rsidRDefault="00442341" w:rsidP="00442341">
      <w:pPr>
        <w:numPr>
          <w:ilvl w:val="1"/>
          <w:numId w:val="14"/>
        </w:numPr>
        <w:spacing w:before="120" w:after="0" w:line="240" w:lineRule="auto"/>
        <w:rPr>
          <w:rFonts w:cstheme="minorHAnsi"/>
          <w:color w:val="7030A0"/>
          <w:sz w:val="24"/>
          <w:szCs w:val="24"/>
        </w:rPr>
      </w:pPr>
      <w:r w:rsidRPr="00C85D02">
        <w:rPr>
          <w:rFonts w:cstheme="minorHAnsi"/>
          <w:b/>
          <w:color w:val="7030A0"/>
          <w:sz w:val="24"/>
          <w:szCs w:val="24"/>
        </w:rPr>
        <w:t>Prof Samantha Hepburn</w:t>
      </w:r>
      <w:r w:rsidRPr="00C85D02">
        <w:rPr>
          <w:rFonts w:cstheme="minorHAnsi"/>
          <w:color w:val="7030A0"/>
          <w:sz w:val="24"/>
          <w:szCs w:val="24"/>
        </w:rPr>
        <w:t xml:space="preserve"> and </w:t>
      </w:r>
      <w:r w:rsidRPr="00C85D02">
        <w:rPr>
          <w:rFonts w:cstheme="minorHAnsi"/>
          <w:b/>
          <w:color w:val="7030A0"/>
          <w:sz w:val="24"/>
          <w:szCs w:val="24"/>
        </w:rPr>
        <w:t>Lidia Xynas</w:t>
      </w:r>
      <w:r w:rsidRPr="00C85D02">
        <w:rPr>
          <w:rFonts w:cstheme="minorHAnsi"/>
          <w:color w:val="7030A0"/>
          <w:sz w:val="24"/>
          <w:szCs w:val="24"/>
        </w:rPr>
        <w:t xml:space="preserve"> organised an outstanding national conference on ‘The Promised Land: the Future of Coal Seam Gas in Victoria’ examining the future of Coal Seam Gas and Unconventional Gas Regulation in Victoria. </w:t>
      </w:r>
    </w:p>
    <w:p w:rsidR="00C85D02" w:rsidRPr="00C85D02" w:rsidRDefault="00C85D02" w:rsidP="005016B2">
      <w:pPr>
        <w:keepNext/>
        <w:keepLines/>
        <w:numPr>
          <w:ilvl w:val="1"/>
          <w:numId w:val="1"/>
        </w:numPr>
        <w:spacing w:after="0" w:line="280" w:lineRule="atLeast"/>
        <w:outlineLvl w:val="1"/>
        <w:rPr>
          <w:rFonts w:eastAsiaTheme="minorEastAsia" w:cstheme="minorHAnsi"/>
          <w:b/>
          <w:color w:val="C00000"/>
          <w:sz w:val="16"/>
          <w:szCs w:val="16"/>
          <w:u w:color="000000"/>
          <w:lang w:val="en-US"/>
        </w:rPr>
      </w:pPr>
    </w:p>
    <w:p w:rsidR="005016B2" w:rsidRPr="00C85D02" w:rsidRDefault="005016B2" w:rsidP="005016B2">
      <w:pPr>
        <w:keepNext/>
        <w:keepLines/>
        <w:numPr>
          <w:ilvl w:val="1"/>
          <w:numId w:val="1"/>
        </w:numPr>
        <w:spacing w:after="0" w:line="280" w:lineRule="atLeast"/>
        <w:outlineLvl w:val="1"/>
        <w:rPr>
          <w:rFonts w:eastAsiaTheme="minorEastAsia" w:cstheme="minorHAnsi"/>
          <w:b/>
          <w:color w:val="C00000"/>
          <w:sz w:val="24"/>
          <w:szCs w:val="24"/>
          <w:u w:color="000000"/>
          <w:lang w:val="en-US"/>
        </w:rPr>
      </w:pPr>
      <w:r w:rsidRPr="00C85D02">
        <w:rPr>
          <w:rFonts w:eastAsiaTheme="minorEastAsia" w:cstheme="minorHAnsi"/>
          <w:b/>
          <w:color w:val="C00000"/>
          <w:sz w:val="24"/>
          <w:szCs w:val="24"/>
          <w:lang w:val="en-US"/>
        </w:rPr>
        <w:t xml:space="preserve">Research of the Law School academics has been cited in the following Law Reform Reports in 2013: </w:t>
      </w:r>
    </w:p>
    <w:p w:rsidR="003C3314" w:rsidRPr="00062CD3" w:rsidRDefault="005016B2" w:rsidP="003C3314">
      <w:pPr>
        <w:numPr>
          <w:ilvl w:val="2"/>
          <w:numId w:val="14"/>
        </w:numPr>
        <w:spacing w:before="120" w:after="0" w:line="240" w:lineRule="auto"/>
        <w:rPr>
          <w:rFonts w:ascii="Georgia" w:hAnsi="Georgia"/>
          <w:color w:val="7030A0"/>
          <w:sz w:val="24"/>
          <w:szCs w:val="24"/>
        </w:rPr>
      </w:pPr>
      <w:r w:rsidRPr="00E50832">
        <w:rPr>
          <w:rFonts w:eastAsiaTheme="minorEastAsia" w:cstheme="minorHAnsi"/>
          <w:color w:val="7030A0"/>
          <w:szCs w:val="24"/>
          <w:lang w:val="en-US"/>
        </w:rPr>
        <w:t>Australian Law Reform Commission Report (DP 79) on Copyright and the Digital Economy</w:t>
      </w:r>
      <w:r w:rsidRPr="003C3314">
        <w:rPr>
          <w:rFonts w:eastAsiaTheme="minorEastAsia" w:cstheme="minorHAnsi"/>
          <w:color w:val="002060"/>
          <w:szCs w:val="24"/>
          <w:lang w:val="en-US"/>
        </w:rPr>
        <w:t xml:space="preserve"> (http://www.alrc.gov.au/publications/copyright-and-digital-economy-dp-79/10-transformative-use-and-quotation);  </w:t>
      </w:r>
    </w:p>
    <w:p w:rsidR="003C3314" w:rsidRPr="00062CD3" w:rsidRDefault="005016B2" w:rsidP="003C3314">
      <w:pPr>
        <w:numPr>
          <w:ilvl w:val="2"/>
          <w:numId w:val="14"/>
        </w:numPr>
        <w:spacing w:before="120" w:after="0" w:line="240" w:lineRule="auto"/>
        <w:rPr>
          <w:rFonts w:ascii="Georgia" w:hAnsi="Georgia"/>
          <w:color w:val="7030A0"/>
          <w:sz w:val="24"/>
          <w:szCs w:val="24"/>
        </w:rPr>
      </w:pPr>
      <w:r w:rsidRPr="00E50832">
        <w:rPr>
          <w:rFonts w:eastAsiaTheme="minorEastAsia" w:cstheme="minorHAnsi"/>
          <w:color w:val="7030A0"/>
          <w:szCs w:val="24"/>
          <w:lang w:val="en-US"/>
        </w:rPr>
        <w:t xml:space="preserve">Victorian Law Reform Commission (See footnotes 276 and 278) Victorian Law Reform Commission’s review of succession laws; Victorian Law Commission in its Succession Laws: Consultation Paper – Intestacy </w:t>
      </w:r>
      <w:r w:rsidRPr="003C3314">
        <w:rPr>
          <w:rFonts w:eastAsiaTheme="minorEastAsia" w:cstheme="minorHAnsi"/>
          <w:color w:val="002060"/>
          <w:szCs w:val="24"/>
          <w:lang w:val="en-US"/>
        </w:rPr>
        <w:t>http://www.lawreform.vic.gov.au/projects/succession-law/succession-laws-consultation-paper-intestacy</w:t>
      </w:r>
    </w:p>
    <w:p w:rsidR="003C3314" w:rsidRPr="00062CD3" w:rsidRDefault="005016B2" w:rsidP="003C3314">
      <w:pPr>
        <w:numPr>
          <w:ilvl w:val="2"/>
          <w:numId w:val="14"/>
        </w:numPr>
        <w:spacing w:before="120" w:after="0" w:line="240" w:lineRule="auto"/>
        <w:rPr>
          <w:rFonts w:ascii="Georgia" w:hAnsi="Georgia"/>
          <w:color w:val="7030A0"/>
          <w:sz w:val="24"/>
          <w:szCs w:val="24"/>
        </w:rPr>
      </w:pPr>
      <w:r w:rsidRPr="00E50832">
        <w:rPr>
          <w:rFonts w:eastAsiaTheme="minorEastAsia" w:cstheme="minorHAnsi"/>
          <w:color w:val="7030A0"/>
          <w:szCs w:val="24"/>
          <w:lang w:val="en-US"/>
        </w:rPr>
        <w:t>Australian Law Reform Commission  Report  “Grey Barriers to Ageing” Discussion Paper</w:t>
      </w:r>
      <w:r w:rsidRPr="003C3314">
        <w:rPr>
          <w:rFonts w:eastAsiaTheme="minorEastAsia" w:cstheme="minorHAnsi"/>
          <w:color w:val="002060"/>
          <w:szCs w:val="24"/>
          <w:lang w:val="en-US"/>
        </w:rPr>
        <w:t xml:space="preserve"> - http://www.alrc.gov.au/publications/grey-areas%E2%80%94age-barriers-work-commonwealth-laws-dp-78</w:t>
      </w:r>
    </w:p>
    <w:p w:rsidR="003C3314" w:rsidRPr="00062CD3" w:rsidRDefault="005016B2" w:rsidP="003C3314">
      <w:pPr>
        <w:numPr>
          <w:ilvl w:val="2"/>
          <w:numId w:val="14"/>
        </w:numPr>
        <w:spacing w:before="120" w:after="0" w:line="240" w:lineRule="auto"/>
        <w:rPr>
          <w:rFonts w:ascii="Georgia" w:hAnsi="Georgia"/>
          <w:color w:val="7030A0"/>
          <w:sz w:val="24"/>
          <w:szCs w:val="24"/>
        </w:rPr>
      </w:pPr>
      <w:r w:rsidRPr="00E50832">
        <w:rPr>
          <w:rFonts w:eastAsiaTheme="minorEastAsia" w:cstheme="minorHAnsi"/>
          <w:color w:val="7030A0"/>
          <w:szCs w:val="24"/>
          <w:lang w:val="en-US"/>
        </w:rPr>
        <w:t xml:space="preserve">Senate Standing Committee on Environment and Communications (Recent Trends in and Preparedness for Extreme Weather) </w:t>
      </w:r>
      <w:r w:rsidRPr="003C3314">
        <w:rPr>
          <w:rFonts w:eastAsiaTheme="minorEastAsia" w:cstheme="minorHAnsi"/>
          <w:color w:val="002060"/>
          <w:szCs w:val="24"/>
          <w:lang w:val="en-US"/>
        </w:rPr>
        <w:t>http://www.aph.gov.au/Parliamentary_Business/Committees/Senate_Committees?url=ec_ctte/extreme_weather/submissions.htm (3rd attachment)</w:t>
      </w:r>
      <w:r w:rsidR="003C3314" w:rsidRPr="003C3314">
        <w:rPr>
          <w:rFonts w:ascii="Georgia" w:hAnsi="Georgia"/>
          <w:color w:val="7030A0"/>
          <w:sz w:val="24"/>
          <w:szCs w:val="24"/>
        </w:rPr>
        <w:t xml:space="preserve"> </w:t>
      </w:r>
    </w:p>
    <w:p w:rsidR="00C85D02" w:rsidRPr="00C85D02" w:rsidRDefault="00C85D02" w:rsidP="003C3314">
      <w:pPr>
        <w:keepNext/>
        <w:keepLines/>
        <w:numPr>
          <w:ilvl w:val="1"/>
          <w:numId w:val="1"/>
        </w:numPr>
        <w:spacing w:after="0" w:line="280" w:lineRule="atLeast"/>
        <w:outlineLvl w:val="1"/>
        <w:rPr>
          <w:rFonts w:eastAsiaTheme="minorEastAsia" w:cstheme="minorHAnsi"/>
          <w:b/>
          <w:color w:val="C00000"/>
          <w:sz w:val="16"/>
          <w:szCs w:val="16"/>
          <w:u w:color="000000"/>
          <w:lang w:val="en-US"/>
        </w:rPr>
      </w:pPr>
    </w:p>
    <w:p w:rsidR="00C85D02" w:rsidRPr="00C85D02" w:rsidRDefault="00C85D02" w:rsidP="003C3314">
      <w:pPr>
        <w:keepNext/>
        <w:keepLines/>
        <w:numPr>
          <w:ilvl w:val="1"/>
          <w:numId w:val="1"/>
        </w:numPr>
        <w:spacing w:after="0" w:line="280" w:lineRule="atLeast"/>
        <w:outlineLvl w:val="1"/>
        <w:rPr>
          <w:rFonts w:eastAsiaTheme="minorEastAsia" w:cstheme="minorHAnsi"/>
          <w:b/>
          <w:color w:val="C00000"/>
          <w:sz w:val="24"/>
          <w:szCs w:val="24"/>
          <w:u w:color="000000"/>
          <w:lang w:val="en-US"/>
        </w:rPr>
      </w:pPr>
      <w:r w:rsidRPr="00C85D02">
        <w:rPr>
          <w:rFonts w:eastAsiaTheme="minorEastAsia" w:cstheme="minorHAnsi"/>
          <w:b/>
          <w:color w:val="C00000"/>
          <w:sz w:val="24"/>
          <w:szCs w:val="24"/>
          <w:u w:color="000000"/>
          <w:lang w:val="en-US"/>
        </w:rPr>
        <w:t>The Final Coda</w:t>
      </w:r>
    </w:p>
    <w:p w:rsidR="003C3314" w:rsidRDefault="003C3314" w:rsidP="003C3314">
      <w:pPr>
        <w:keepNext/>
        <w:keepLines/>
        <w:numPr>
          <w:ilvl w:val="1"/>
          <w:numId w:val="1"/>
        </w:numPr>
        <w:spacing w:after="0" w:line="280" w:lineRule="atLeast"/>
        <w:outlineLvl w:val="1"/>
        <w:rPr>
          <w:rFonts w:eastAsiaTheme="minorEastAsia" w:cstheme="minorHAnsi"/>
          <w:color w:val="002060"/>
          <w:sz w:val="24"/>
          <w:szCs w:val="24"/>
          <w:u w:color="000000"/>
          <w:lang w:val="en-US"/>
        </w:rPr>
      </w:pPr>
      <w:r w:rsidRPr="00C85D02">
        <w:rPr>
          <w:color w:val="002060"/>
          <w:sz w:val="24"/>
          <w:szCs w:val="24"/>
        </w:rPr>
        <w:t xml:space="preserve">One way to gauge the standing of a Law School is by the number of applicants for positions it advertises. In November 2013, the Law School placed a single ad in </w:t>
      </w:r>
      <w:r w:rsidRPr="00C85D02">
        <w:rPr>
          <w:i/>
          <w:color w:val="002060"/>
          <w:sz w:val="24"/>
          <w:szCs w:val="24"/>
        </w:rPr>
        <w:t>The Australian</w:t>
      </w:r>
      <w:r w:rsidRPr="00C85D02">
        <w:rPr>
          <w:color w:val="002060"/>
          <w:sz w:val="24"/>
          <w:szCs w:val="24"/>
        </w:rPr>
        <w:t xml:space="preserve"> for two Level A positions (each involving a 2-year contract)</w:t>
      </w:r>
      <w:r w:rsidR="00C85D02">
        <w:rPr>
          <w:color w:val="002060"/>
          <w:sz w:val="24"/>
          <w:szCs w:val="24"/>
        </w:rPr>
        <w:t>,</w:t>
      </w:r>
      <w:r w:rsidRPr="00C85D02">
        <w:rPr>
          <w:color w:val="002060"/>
          <w:sz w:val="24"/>
          <w:szCs w:val="24"/>
        </w:rPr>
        <w:t xml:space="preserve"> and a Level B position (continuing). 61 applications were received, including some from Europe and the USA; a very high proportion of applicants have PhD qualifications; several more have submitted their respective dissertations; the short-listed candidates also have publications in very prestigious journals.</w:t>
      </w:r>
      <w:r w:rsidRPr="00C85D02">
        <w:rPr>
          <w:rFonts w:eastAsiaTheme="minorEastAsia" w:cstheme="minorHAnsi"/>
          <w:color w:val="002060"/>
          <w:sz w:val="24"/>
          <w:szCs w:val="24"/>
          <w:u w:color="000000"/>
          <w:lang w:val="en-US"/>
        </w:rPr>
        <w:t xml:space="preserve"> </w:t>
      </w:r>
      <w:r w:rsidR="00C85D02">
        <w:rPr>
          <w:rFonts w:eastAsiaTheme="minorEastAsia" w:cstheme="minorHAnsi"/>
          <w:color w:val="002060"/>
          <w:sz w:val="24"/>
          <w:szCs w:val="24"/>
          <w:u w:color="000000"/>
          <w:lang w:val="en-US"/>
        </w:rPr>
        <w:t xml:space="preserve">The Selection Committee’s interviews with the applicants are scheduled for 24 January 2014. </w:t>
      </w:r>
    </w:p>
    <w:p w:rsidR="00E50832" w:rsidRDefault="00E50832" w:rsidP="003C3314">
      <w:pPr>
        <w:keepNext/>
        <w:keepLines/>
        <w:numPr>
          <w:ilvl w:val="1"/>
          <w:numId w:val="1"/>
        </w:numPr>
        <w:spacing w:after="0" w:line="280" w:lineRule="atLeast"/>
        <w:outlineLvl w:val="1"/>
        <w:rPr>
          <w:rFonts w:eastAsiaTheme="minorEastAsia" w:cstheme="minorHAnsi"/>
          <w:color w:val="002060"/>
          <w:sz w:val="24"/>
          <w:szCs w:val="24"/>
          <w:u w:color="000000"/>
          <w:lang w:val="en-US"/>
        </w:rPr>
      </w:pPr>
      <w:bookmarkStart w:id="0" w:name="_GoBack"/>
      <w:bookmarkEnd w:id="0"/>
    </w:p>
    <w:p w:rsidR="00E50832" w:rsidRPr="00C85D02" w:rsidRDefault="00E50832" w:rsidP="00E50832">
      <w:pPr>
        <w:keepNext/>
        <w:keepLines/>
        <w:numPr>
          <w:ilvl w:val="1"/>
          <w:numId w:val="1"/>
        </w:numPr>
        <w:spacing w:after="0" w:line="280" w:lineRule="atLeast"/>
        <w:jc w:val="center"/>
        <w:outlineLvl w:val="1"/>
        <w:rPr>
          <w:rFonts w:eastAsiaTheme="minorEastAsia" w:cstheme="minorHAnsi"/>
          <w:color w:val="002060"/>
          <w:sz w:val="24"/>
          <w:szCs w:val="24"/>
          <w:u w:color="000000"/>
          <w:lang w:val="en-US"/>
        </w:rPr>
      </w:pPr>
      <w:r>
        <w:rPr>
          <w:rFonts w:eastAsiaTheme="minorEastAsia" w:cstheme="minorHAnsi"/>
          <w:noProof/>
          <w:color w:val="002060"/>
          <w:sz w:val="24"/>
          <w:szCs w:val="24"/>
          <w:u w:color="000000"/>
          <w:lang w:eastAsia="en-AU"/>
        </w:rPr>
        <w:drawing>
          <wp:inline distT="0" distB="0" distL="0" distR="0" wp14:anchorId="7CC84FDE">
            <wp:extent cx="652145" cy="62166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2145" cy="621665"/>
                    </a:xfrm>
                    <a:prstGeom prst="rect">
                      <a:avLst/>
                    </a:prstGeom>
                    <a:noFill/>
                  </pic:spPr>
                </pic:pic>
              </a:graphicData>
            </a:graphic>
          </wp:inline>
        </w:drawing>
      </w:r>
    </w:p>
    <w:p w:rsidR="003C3314" w:rsidRPr="00C85D02" w:rsidRDefault="003C3314">
      <w:pPr>
        <w:rPr>
          <w:color w:val="002060"/>
        </w:rPr>
      </w:pPr>
    </w:p>
    <w:sectPr w:rsidR="003C3314" w:rsidRPr="00C85D02" w:rsidSect="00EC6F35">
      <w:footerReference w:type="default" r:id="rId12"/>
      <w:headerReference w:type="first" r:id="rId13"/>
      <w:footerReference w:type="first" r:id="rId14"/>
      <w:pgSz w:w="11906" w:h="16838" w:code="9"/>
      <w:pgMar w:top="1440" w:right="1080" w:bottom="1440" w:left="1080" w:header="397"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5D5" w:rsidRDefault="006935D5">
      <w:pPr>
        <w:spacing w:after="0" w:line="240" w:lineRule="auto"/>
      </w:pPr>
      <w:r>
        <w:separator/>
      </w:r>
    </w:p>
  </w:endnote>
  <w:endnote w:type="continuationSeparator" w:id="0">
    <w:p w:rsidR="006935D5" w:rsidRDefault="00693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438" w:rsidRPr="007C0F1B" w:rsidRDefault="005016B2" w:rsidP="00E946E5">
    <w:pPr>
      <w:pStyle w:val="NormalBase"/>
    </w:pPr>
    <w:r>
      <w:rPr>
        <w:rFonts w:eastAsia="Times New Roman"/>
        <w:noProof/>
        <w:lang w:eastAsia="en-AU"/>
      </w:rPr>
      <w:drawing>
        <wp:anchor distT="0" distB="0" distL="114300" distR="114300" simplePos="0" relativeHeight="251663360" behindDoc="1" locked="1" layoutInCell="1" allowOverlap="1" wp14:anchorId="2B0BCA39" wp14:editId="7E59A413">
          <wp:simplePos x="0" y="0"/>
          <wp:positionH relativeFrom="page">
            <wp:posOffset>248285</wp:posOffset>
          </wp:positionH>
          <wp:positionV relativeFrom="page">
            <wp:posOffset>9764395</wp:posOffset>
          </wp:positionV>
          <wp:extent cx="7088400" cy="712800"/>
          <wp:effectExtent l="0" t="0" r="0" b="0"/>
          <wp:wrapNone/>
          <wp:docPr id="5" name="Picture 8" descr="Orange Banner 1-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range Banner 1-3.png"/>
                  <pic:cNvPicPr preferRelativeResize="0"/>
                </pic:nvPicPr>
                <pic:blipFill>
                  <a:blip r:embed="rId1"/>
                  <a:stretch>
                    <a:fillRect/>
                  </a:stretch>
                </pic:blipFill>
                <pic:spPr>
                  <a:xfrm>
                    <a:off x="0" y="0"/>
                    <a:ext cx="70884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62336" behindDoc="0" locked="1" layoutInCell="1" allowOverlap="1" wp14:anchorId="4FF87605" wp14:editId="09D4873F">
              <wp:simplePos x="0" y="0"/>
              <wp:positionH relativeFrom="page">
                <wp:posOffset>245110</wp:posOffset>
              </wp:positionH>
              <wp:positionV relativeFrom="page">
                <wp:posOffset>9753600</wp:posOffset>
              </wp:positionV>
              <wp:extent cx="7099200" cy="723600"/>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200" cy="72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6438" w:rsidRPr="00793852" w:rsidRDefault="005016B2" w:rsidP="00E946E5">
                          <w:pPr>
                            <w:pStyle w:val="FooterReport"/>
                          </w:pPr>
                          <w:r w:rsidRPr="00793852">
                            <w:t xml:space="preserve">School of </w:t>
                          </w:r>
                          <w:r>
                            <w:t>Law</w:t>
                          </w:r>
                          <w:r w:rsidRPr="00793852">
                            <w:t xml:space="preserve"> </w:t>
                          </w:r>
                        </w:p>
                        <w:p w:rsidR="00736438" w:rsidRDefault="005016B2" w:rsidP="00E946E5">
                          <w:pPr>
                            <w:pStyle w:val="FooterReport"/>
                          </w:pPr>
                          <w:r w:rsidRPr="00793852">
                            <w:t xml:space="preserve">Faculty of </w:t>
                          </w:r>
                          <w:r>
                            <w:t>Business and Law</w:t>
                          </w:r>
                        </w:p>
                        <w:p w:rsidR="00736438" w:rsidRPr="00793852" w:rsidRDefault="005016B2" w:rsidP="00E946E5">
                          <w:pPr>
                            <w:pStyle w:val="FooterReport"/>
                          </w:pPr>
                          <w:r w:rsidRPr="00793852">
                            <w:t>Melbourne Burwood Campus, 221 Burwood Highway, Burwood, VIC 3125</w:t>
                          </w:r>
                        </w:p>
                        <w:p w:rsidR="00736438" w:rsidRPr="00793852" w:rsidRDefault="005016B2" w:rsidP="00E946E5">
                          <w:pPr>
                            <w:pStyle w:val="FooterReport"/>
                          </w:pPr>
                          <w:r w:rsidRPr="00793852">
                            <w:t xml:space="preserve">Tel 03 </w:t>
                          </w:r>
                          <w:r>
                            <w:t xml:space="preserve">5227 7215 </w:t>
                          </w:r>
                          <w:proofErr w:type="gramStart"/>
                          <w:r>
                            <w:t>natalie.ward@</w:t>
                          </w:r>
                          <w:r w:rsidRPr="00793852">
                            <w:t>deakin.edu.au  www.deakin.edu.au</w:t>
                          </w:r>
                          <w:proofErr w:type="gramEnd"/>
                        </w:p>
                        <w:p w:rsidR="00736438" w:rsidRDefault="006935D5" w:rsidP="00E946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9.3pt;margin-top:768pt;width:559pt;height:5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" filled="f" stroked="f">
              <v:textbox>
                <w:txbxContent>
                  <w:p w:rsidR="00736438" w:rsidRPr="00793852" w:rsidRDefault="005016B2" w:rsidP="00E946E5">
                    <w:pPr>
                      <w:pStyle w:val="FooterReport"/>
                    </w:pPr>
                    <w:r w:rsidRPr="00793852">
                      <w:t xml:space="preserve">School of </w:t>
                    </w:r>
                    <w:r>
                      <w:t>Law</w:t>
                    </w:r>
                    <w:r w:rsidRPr="00793852">
                      <w:t xml:space="preserve"> </w:t>
                    </w:r>
                  </w:p>
                  <w:p w:rsidR="00736438" w:rsidRDefault="005016B2" w:rsidP="00E946E5">
                    <w:pPr>
                      <w:pStyle w:val="FooterReport"/>
                    </w:pPr>
                    <w:r w:rsidRPr="00793852">
                      <w:t xml:space="preserve">Faculty of </w:t>
                    </w:r>
                    <w:r>
                      <w:t>Business and Law</w:t>
                    </w:r>
                  </w:p>
                  <w:p w:rsidR="00736438" w:rsidRPr="00793852" w:rsidRDefault="005016B2" w:rsidP="00E946E5">
                    <w:pPr>
                      <w:pStyle w:val="FooterReport"/>
                    </w:pPr>
                    <w:r w:rsidRPr="00793852">
                      <w:t>Melbourne Burwood Campus, 221 Burwood Highway, Burwood, VIC 3125</w:t>
                    </w:r>
                  </w:p>
                  <w:p w:rsidR="00736438" w:rsidRPr="00793852" w:rsidRDefault="005016B2" w:rsidP="00E946E5">
                    <w:pPr>
                      <w:pStyle w:val="FooterReport"/>
                    </w:pPr>
                    <w:r w:rsidRPr="00793852">
                      <w:t xml:space="preserve">Tel 03 </w:t>
                    </w:r>
                    <w:r>
                      <w:t xml:space="preserve">5227 7215 </w:t>
                    </w:r>
                    <w:proofErr w:type="gramStart"/>
                    <w:r>
                      <w:t>natalie.ward@</w:t>
                    </w:r>
                    <w:r w:rsidRPr="00793852">
                      <w:t>deakin.edu.au  www.deakin.edu.au</w:t>
                    </w:r>
                    <w:proofErr w:type="gramEnd"/>
                  </w:p>
                  <w:p w:rsidR="00736438" w:rsidRDefault="005016B2" w:rsidP="00E946E5"/>
                </w:txbxContent>
              </v:textbox>
              <w10:wrap anchorx="page" anchory="page"/>
              <w10:anchorlock/>
            </v:shape>
          </w:pict>
        </mc:Fallback>
      </mc:AlternateContent>
    </w:r>
  </w:p>
  <w:p w:rsidR="00736438" w:rsidRPr="007C0F1B" w:rsidRDefault="005016B2" w:rsidP="00E946E5">
    <w:pPr>
      <w:pStyle w:val="FooterCode"/>
    </w:pPr>
    <w:r>
      <w:t>Deakin University CRICOS Provider Code: 00113B</w:t>
    </w:r>
  </w:p>
  <w:p w:rsidR="00736438" w:rsidRPr="00E946E5" w:rsidRDefault="006935D5" w:rsidP="00E946E5">
    <w:pPr>
      <w:pStyle w:val="FooterBas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438" w:rsidRPr="007C0F1B" w:rsidRDefault="005016B2" w:rsidP="00C27889">
    <w:pPr>
      <w:pStyle w:val="NormalBase"/>
    </w:pPr>
    <w:r>
      <w:rPr>
        <w:rFonts w:eastAsia="Times New Roman"/>
        <w:noProof/>
        <w:lang w:eastAsia="en-AU"/>
      </w:rPr>
      <w:drawing>
        <wp:anchor distT="0" distB="0" distL="114300" distR="114300" simplePos="0" relativeHeight="251661312" behindDoc="1" locked="1" layoutInCell="1" allowOverlap="1" wp14:anchorId="6B6B2276" wp14:editId="0815F957">
          <wp:simplePos x="0" y="0"/>
          <wp:positionH relativeFrom="page">
            <wp:posOffset>248285</wp:posOffset>
          </wp:positionH>
          <wp:positionV relativeFrom="page">
            <wp:posOffset>9764395</wp:posOffset>
          </wp:positionV>
          <wp:extent cx="7088400" cy="712800"/>
          <wp:effectExtent l="0" t="0" r="0" b="0"/>
          <wp:wrapNone/>
          <wp:docPr id="7" name="Picture 7" descr="Orange Banner 1-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range Banner 1-3.png"/>
                  <pic:cNvPicPr preferRelativeResize="0"/>
                </pic:nvPicPr>
                <pic:blipFill>
                  <a:blip r:embed="rId1"/>
                  <a:stretch>
                    <a:fillRect/>
                  </a:stretch>
                </pic:blipFill>
                <pic:spPr>
                  <a:xfrm>
                    <a:off x="0" y="0"/>
                    <a:ext cx="70884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9264" behindDoc="0" locked="1" layoutInCell="1" allowOverlap="1" wp14:anchorId="4E0B2472" wp14:editId="1C81F8D7">
              <wp:simplePos x="0" y="0"/>
              <wp:positionH relativeFrom="page">
                <wp:posOffset>245110</wp:posOffset>
              </wp:positionH>
              <wp:positionV relativeFrom="page">
                <wp:posOffset>9753600</wp:posOffset>
              </wp:positionV>
              <wp:extent cx="7099200" cy="723600"/>
              <wp:effectExtent l="0" t="0"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200" cy="72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6438" w:rsidRPr="00793852" w:rsidRDefault="005016B2" w:rsidP="00793852">
                          <w:pPr>
                            <w:pStyle w:val="FooterReport"/>
                          </w:pPr>
                          <w:r w:rsidRPr="00793852">
                            <w:t xml:space="preserve">School of </w:t>
                          </w:r>
                          <w:r>
                            <w:t>Law</w:t>
                          </w:r>
                        </w:p>
                        <w:p w:rsidR="00736438" w:rsidRPr="00793852" w:rsidRDefault="005016B2" w:rsidP="00793852">
                          <w:pPr>
                            <w:pStyle w:val="FooterReport"/>
                          </w:pPr>
                          <w:r w:rsidRPr="00793852">
                            <w:t xml:space="preserve">Faculty of </w:t>
                          </w:r>
                          <w:r>
                            <w:t xml:space="preserve">Business </w:t>
                          </w:r>
                          <w:r w:rsidRPr="00793852">
                            <w:t xml:space="preserve">and </w:t>
                          </w:r>
                          <w:r>
                            <w:t>Law</w:t>
                          </w:r>
                        </w:p>
                        <w:p w:rsidR="00736438" w:rsidRPr="00793852" w:rsidRDefault="005016B2" w:rsidP="00793852">
                          <w:pPr>
                            <w:pStyle w:val="FooterReport"/>
                          </w:pPr>
                          <w:r w:rsidRPr="00793852">
                            <w:t>Melbourne Burwood Campus, 221 Burwood Highway, Burwood, VIC 3125</w:t>
                          </w:r>
                        </w:p>
                        <w:p w:rsidR="00736438" w:rsidRPr="00793852" w:rsidRDefault="005016B2" w:rsidP="00793852">
                          <w:pPr>
                            <w:pStyle w:val="FooterReport"/>
                          </w:pPr>
                          <w:r w:rsidRPr="00793852">
                            <w:t xml:space="preserve">Tel 03 </w:t>
                          </w:r>
                          <w:r>
                            <w:t xml:space="preserve">5227 7215 </w:t>
                          </w:r>
                          <w:proofErr w:type="gramStart"/>
                          <w:r>
                            <w:t>natalie.ward@</w:t>
                          </w:r>
                          <w:r w:rsidRPr="00793852">
                            <w:t>deakin.edu.au  www.deakin.edu.au</w:t>
                          </w:r>
                          <w:proofErr w:type="gramEnd"/>
                        </w:p>
                        <w:p w:rsidR="00736438" w:rsidRDefault="006935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9.3pt;margin-top:768pt;width:559pt;height:5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" filled="f" stroked="f">
              <v:textbox>
                <w:txbxContent>
                  <w:p w:rsidR="00736438" w:rsidRPr="00793852" w:rsidRDefault="005016B2" w:rsidP="00793852">
                    <w:pPr>
                      <w:pStyle w:val="FooterReport"/>
                    </w:pPr>
                    <w:r w:rsidRPr="00793852">
                      <w:t xml:space="preserve">School of </w:t>
                    </w:r>
                    <w:r>
                      <w:t>Law</w:t>
                    </w:r>
                  </w:p>
                  <w:p w:rsidR="00736438" w:rsidRPr="00793852" w:rsidRDefault="005016B2" w:rsidP="00793852">
                    <w:pPr>
                      <w:pStyle w:val="FooterReport"/>
                    </w:pPr>
                    <w:r w:rsidRPr="00793852">
                      <w:t xml:space="preserve">Faculty of </w:t>
                    </w:r>
                    <w:r>
                      <w:t xml:space="preserve">Business </w:t>
                    </w:r>
                    <w:r w:rsidRPr="00793852">
                      <w:t xml:space="preserve">and </w:t>
                    </w:r>
                    <w:r>
                      <w:t>Law</w:t>
                    </w:r>
                  </w:p>
                  <w:p w:rsidR="00736438" w:rsidRPr="00793852" w:rsidRDefault="005016B2" w:rsidP="00793852">
                    <w:pPr>
                      <w:pStyle w:val="FooterReport"/>
                    </w:pPr>
                    <w:r w:rsidRPr="00793852">
                      <w:t>Melbourne Burwood Campus, 221 Burwood Highway, Burwood, VIC 3125</w:t>
                    </w:r>
                  </w:p>
                  <w:p w:rsidR="00736438" w:rsidRPr="00793852" w:rsidRDefault="005016B2" w:rsidP="00793852">
                    <w:pPr>
                      <w:pStyle w:val="FooterReport"/>
                    </w:pPr>
                    <w:r w:rsidRPr="00793852">
                      <w:t xml:space="preserve">Tel 03 </w:t>
                    </w:r>
                    <w:r>
                      <w:t xml:space="preserve">5227 7215 </w:t>
                    </w:r>
                    <w:proofErr w:type="gramStart"/>
                    <w:r>
                      <w:t>natalie.ward@</w:t>
                    </w:r>
                    <w:r w:rsidRPr="00793852">
                      <w:t>deakin.edu.au  www.deakin.edu.au</w:t>
                    </w:r>
                    <w:proofErr w:type="gramEnd"/>
                  </w:p>
                  <w:p w:rsidR="00736438" w:rsidRDefault="005016B2"/>
                </w:txbxContent>
              </v:textbox>
              <w10:wrap anchorx="page" anchory="page"/>
              <w10:anchorlock/>
            </v:shape>
          </w:pict>
        </mc:Fallback>
      </mc:AlternateContent>
    </w:r>
  </w:p>
  <w:p w:rsidR="00736438" w:rsidRPr="007C0F1B" w:rsidRDefault="005016B2" w:rsidP="008B402F">
    <w:pPr>
      <w:pStyle w:val="FooterCode"/>
    </w:pPr>
    <w:r>
      <w:t>Deakin University CRICOS Provider Code: 00113B</w:t>
    </w:r>
  </w:p>
  <w:p w:rsidR="00736438" w:rsidRPr="007C0F1B" w:rsidRDefault="006935D5" w:rsidP="008B402F">
    <w:pPr>
      <w:pStyle w:val="FooterBas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5D5" w:rsidRDefault="006935D5">
      <w:pPr>
        <w:spacing w:after="0" w:line="240" w:lineRule="auto"/>
      </w:pPr>
      <w:r>
        <w:separator/>
      </w:r>
    </w:p>
  </w:footnote>
  <w:footnote w:type="continuationSeparator" w:id="0">
    <w:p w:rsidR="006935D5" w:rsidRDefault="006935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438" w:rsidRDefault="005016B2" w:rsidP="00A42BB8">
    <w:pPr>
      <w:pStyle w:val="NormalBase"/>
      <w:keepNext/>
    </w:pPr>
    <w:r>
      <w:rPr>
        <w:noProof/>
        <w:lang w:eastAsia="en-AU"/>
      </w:rPr>
      <w:drawing>
        <wp:anchor distT="0" distB="0" distL="114300" distR="114300" simplePos="0" relativeHeight="251660288" behindDoc="0" locked="0" layoutInCell="1" allowOverlap="1" wp14:anchorId="4E347813" wp14:editId="4DEF57C7">
          <wp:simplePos x="0" y="0"/>
          <wp:positionH relativeFrom="page">
            <wp:posOffset>3086100</wp:posOffset>
          </wp:positionH>
          <wp:positionV relativeFrom="page">
            <wp:posOffset>257175</wp:posOffset>
          </wp:positionV>
          <wp:extent cx="1333500" cy="13335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akin_Worldly_Logo_Key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3500" cy="1333500"/>
                  </a:xfrm>
                  <a:prstGeom prst="rect">
                    <a:avLst/>
                  </a:prstGeom>
                </pic:spPr>
              </pic:pic>
            </a:graphicData>
          </a:graphic>
          <wp14:sizeRelH relativeFrom="margin">
            <wp14:pctWidth>0</wp14:pctWidth>
          </wp14:sizeRelH>
          <wp14:sizeRelV relativeFrom="margin">
            <wp14:pctHeight>0</wp14:pctHeight>
          </wp14:sizeRelV>
        </wp:anchor>
      </w:drawing>
    </w:r>
  </w:p>
  <w:p w:rsidR="00736438" w:rsidRDefault="006935D5" w:rsidP="00A42BB8">
    <w:pPr>
      <w:pStyle w:val="NormalBase"/>
      <w:keepNext/>
    </w:pPr>
  </w:p>
  <w:p w:rsidR="00736438" w:rsidRDefault="006935D5" w:rsidP="00A42BB8">
    <w:pPr>
      <w:pStyle w:val="NormalBase"/>
      <w:keepNext/>
    </w:pPr>
  </w:p>
  <w:p w:rsidR="00736438" w:rsidRDefault="006935D5" w:rsidP="00A42BB8">
    <w:pPr>
      <w:pStyle w:val="NormalBase"/>
      <w:keepNext/>
    </w:pPr>
  </w:p>
  <w:p w:rsidR="00736438" w:rsidRDefault="006935D5" w:rsidP="00A42BB8">
    <w:pPr>
      <w:pStyle w:val="NormalBase"/>
      <w:keepNext/>
    </w:pPr>
  </w:p>
  <w:p w:rsidR="00736438" w:rsidRDefault="006935D5" w:rsidP="00A42BB8">
    <w:pPr>
      <w:pStyle w:val="NormalBase"/>
      <w:keepNext/>
    </w:pPr>
  </w:p>
  <w:p w:rsidR="00736438" w:rsidRDefault="006935D5" w:rsidP="00A42BB8">
    <w:pPr>
      <w:pStyle w:val="NormalBase"/>
      <w:keepNext/>
    </w:pPr>
  </w:p>
  <w:p w:rsidR="00736438" w:rsidRDefault="006935D5" w:rsidP="00A42BB8">
    <w:pPr>
      <w:pStyle w:val="NormalBase"/>
      <w:keepNext/>
    </w:pPr>
  </w:p>
  <w:p w:rsidR="00736438" w:rsidRDefault="006935D5" w:rsidP="00A42BB8">
    <w:pPr>
      <w:pStyle w:val="NormalBase"/>
      <w:keepNext/>
    </w:pPr>
  </w:p>
  <w:p w:rsidR="00736438" w:rsidRDefault="006935D5" w:rsidP="00825D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91CA6"/>
    <w:multiLevelType w:val="multilevel"/>
    <w:tmpl w:val="BF7ED606"/>
    <w:lvl w:ilvl="0">
      <w:start w:val="1"/>
      <w:numFmt w:val="none"/>
      <w:lvlRestart w:val="0"/>
      <w:suff w:val="nothing"/>
      <w:lvlText w:val=""/>
      <w:lvlJc w:val="left"/>
      <w:pPr>
        <w:tabs>
          <w:tab w:val="num" w:pos="1134"/>
        </w:tabs>
        <w:ind w:left="1134" w:firstLine="0"/>
      </w:pPr>
    </w:lvl>
    <w:lvl w:ilvl="1">
      <w:start w:val="1"/>
      <w:numFmt w:val="decimal"/>
      <w:lvlText w:val="%2."/>
      <w:lvlJc w:val="left"/>
      <w:pPr>
        <w:tabs>
          <w:tab w:val="num" w:pos="1134"/>
        </w:tabs>
        <w:ind w:left="1134" w:firstLine="0"/>
      </w:pPr>
    </w:lvl>
    <w:lvl w:ilvl="2">
      <w:start w:val="1"/>
      <w:numFmt w:val="none"/>
      <w:lvlRestart w:val="0"/>
      <w:suff w:val="nothing"/>
      <w:lvlText w:val=""/>
      <w:lvlJc w:val="left"/>
      <w:pPr>
        <w:tabs>
          <w:tab w:val="num" w:pos="1134"/>
        </w:tabs>
        <w:ind w:left="1134" w:firstLine="0"/>
      </w:pPr>
    </w:lvl>
    <w:lvl w:ilvl="3">
      <w:start w:val="1"/>
      <w:numFmt w:val="none"/>
      <w:lvlRestart w:val="0"/>
      <w:suff w:val="nothing"/>
      <w:lvlText w:val=""/>
      <w:lvlJc w:val="left"/>
      <w:pPr>
        <w:tabs>
          <w:tab w:val="num" w:pos="1134"/>
        </w:tabs>
        <w:ind w:left="1134" w:firstLine="0"/>
      </w:pPr>
    </w:lvl>
    <w:lvl w:ilvl="4">
      <w:start w:val="1"/>
      <w:numFmt w:val="none"/>
      <w:lvlRestart w:val="0"/>
      <w:suff w:val="nothing"/>
      <w:lvlText w:val=""/>
      <w:lvlJc w:val="left"/>
      <w:pPr>
        <w:tabs>
          <w:tab w:val="num" w:pos="1502"/>
        </w:tabs>
        <w:ind w:left="1502" w:hanging="368"/>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D145E1F"/>
    <w:multiLevelType w:val="hybridMultilevel"/>
    <w:tmpl w:val="4E884A86"/>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
    <w:nsid w:val="10055448"/>
    <w:multiLevelType w:val="multilevel"/>
    <w:tmpl w:val="BF7ED606"/>
    <w:lvl w:ilvl="0">
      <w:start w:val="1"/>
      <w:numFmt w:val="none"/>
      <w:lvlRestart w:val="0"/>
      <w:suff w:val="nothing"/>
      <w:lvlText w:val=""/>
      <w:lvlJc w:val="left"/>
      <w:pPr>
        <w:tabs>
          <w:tab w:val="num" w:pos="1134"/>
        </w:tabs>
        <w:ind w:left="1134" w:firstLine="0"/>
      </w:pPr>
    </w:lvl>
    <w:lvl w:ilvl="1">
      <w:start w:val="1"/>
      <w:numFmt w:val="decimal"/>
      <w:lvlText w:val="%2."/>
      <w:lvlJc w:val="left"/>
      <w:pPr>
        <w:tabs>
          <w:tab w:val="num" w:pos="1134"/>
        </w:tabs>
        <w:ind w:left="1134" w:firstLine="0"/>
      </w:pPr>
    </w:lvl>
    <w:lvl w:ilvl="2">
      <w:start w:val="1"/>
      <w:numFmt w:val="none"/>
      <w:lvlRestart w:val="0"/>
      <w:suff w:val="nothing"/>
      <w:lvlText w:val=""/>
      <w:lvlJc w:val="left"/>
      <w:pPr>
        <w:tabs>
          <w:tab w:val="num" w:pos="1134"/>
        </w:tabs>
        <w:ind w:left="1134" w:firstLine="0"/>
      </w:pPr>
    </w:lvl>
    <w:lvl w:ilvl="3">
      <w:start w:val="1"/>
      <w:numFmt w:val="none"/>
      <w:lvlRestart w:val="0"/>
      <w:suff w:val="nothing"/>
      <w:lvlText w:val=""/>
      <w:lvlJc w:val="left"/>
      <w:pPr>
        <w:tabs>
          <w:tab w:val="num" w:pos="1134"/>
        </w:tabs>
        <w:ind w:left="1134" w:firstLine="0"/>
      </w:pPr>
    </w:lvl>
    <w:lvl w:ilvl="4">
      <w:start w:val="1"/>
      <w:numFmt w:val="none"/>
      <w:lvlRestart w:val="0"/>
      <w:suff w:val="nothing"/>
      <w:lvlText w:val=""/>
      <w:lvlJc w:val="left"/>
      <w:pPr>
        <w:tabs>
          <w:tab w:val="num" w:pos="1502"/>
        </w:tabs>
        <w:ind w:left="1502" w:hanging="368"/>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0734445"/>
    <w:multiLevelType w:val="hybridMultilevel"/>
    <w:tmpl w:val="8E782B20"/>
    <w:lvl w:ilvl="0" w:tplc="0C09000F">
      <w:start w:val="1"/>
      <w:numFmt w:val="decimal"/>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4">
    <w:nsid w:val="128D6904"/>
    <w:multiLevelType w:val="multilevel"/>
    <w:tmpl w:val="BF7ED606"/>
    <w:lvl w:ilvl="0">
      <w:start w:val="1"/>
      <w:numFmt w:val="none"/>
      <w:lvlRestart w:val="0"/>
      <w:suff w:val="nothing"/>
      <w:lvlText w:val=""/>
      <w:lvlJc w:val="left"/>
      <w:pPr>
        <w:tabs>
          <w:tab w:val="num" w:pos="1134"/>
        </w:tabs>
        <w:ind w:left="1134" w:firstLine="0"/>
      </w:pPr>
    </w:lvl>
    <w:lvl w:ilvl="1">
      <w:start w:val="1"/>
      <w:numFmt w:val="decimal"/>
      <w:lvlText w:val="%2."/>
      <w:lvlJc w:val="left"/>
      <w:pPr>
        <w:tabs>
          <w:tab w:val="num" w:pos="1134"/>
        </w:tabs>
        <w:ind w:left="1134" w:firstLine="0"/>
      </w:pPr>
    </w:lvl>
    <w:lvl w:ilvl="2">
      <w:start w:val="1"/>
      <w:numFmt w:val="none"/>
      <w:lvlRestart w:val="0"/>
      <w:suff w:val="nothing"/>
      <w:lvlText w:val=""/>
      <w:lvlJc w:val="left"/>
      <w:pPr>
        <w:tabs>
          <w:tab w:val="num" w:pos="1134"/>
        </w:tabs>
        <w:ind w:left="1134" w:firstLine="0"/>
      </w:pPr>
    </w:lvl>
    <w:lvl w:ilvl="3">
      <w:start w:val="1"/>
      <w:numFmt w:val="none"/>
      <w:lvlRestart w:val="0"/>
      <w:suff w:val="nothing"/>
      <w:lvlText w:val=""/>
      <w:lvlJc w:val="left"/>
      <w:pPr>
        <w:tabs>
          <w:tab w:val="num" w:pos="1134"/>
        </w:tabs>
        <w:ind w:left="1134" w:firstLine="0"/>
      </w:pPr>
    </w:lvl>
    <w:lvl w:ilvl="4">
      <w:start w:val="1"/>
      <w:numFmt w:val="none"/>
      <w:lvlRestart w:val="0"/>
      <w:suff w:val="nothing"/>
      <w:lvlText w:val=""/>
      <w:lvlJc w:val="left"/>
      <w:pPr>
        <w:tabs>
          <w:tab w:val="num" w:pos="1502"/>
        </w:tabs>
        <w:ind w:left="1502" w:hanging="368"/>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2F30D35"/>
    <w:multiLevelType w:val="multilevel"/>
    <w:tmpl w:val="AED22E58"/>
    <w:lvl w:ilvl="0">
      <w:start w:val="1"/>
      <w:numFmt w:val="none"/>
      <w:lvlRestart w:val="0"/>
      <w:suff w:val="nothing"/>
      <w:lvlText w:val=""/>
      <w:lvlJc w:val="left"/>
      <w:pPr>
        <w:tabs>
          <w:tab w:val="num" w:pos="1134"/>
        </w:tabs>
        <w:ind w:left="1134" w:firstLine="0"/>
      </w:pPr>
    </w:lvl>
    <w:lvl w:ilvl="1">
      <w:start w:val="1"/>
      <w:numFmt w:val="bullet"/>
      <w:lvlText w:val=""/>
      <w:lvlJc w:val="left"/>
      <w:pPr>
        <w:tabs>
          <w:tab w:val="num" w:pos="1134"/>
        </w:tabs>
        <w:ind w:left="1134" w:firstLine="0"/>
      </w:pPr>
      <w:rPr>
        <w:rFonts w:ascii="Symbol" w:hAnsi="Symbol" w:hint="default"/>
        <w:b w:val="0"/>
        <w:color w:val="auto"/>
      </w:rPr>
    </w:lvl>
    <w:lvl w:ilvl="2">
      <w:start w:val="1"/>
      <w:numFmt w:val="none"/>
      <w:lvlRestart w:val="0"/>
      <w:suff w:val="nothing"/>
      <w:lvlText w:val=""/>
      <w:lvlJc w:val="left"/>
      <w:pPr>
        <w:tabs>
          <w:tab w:val="num" w:pos="1134"/>
        </w:tabs>
        <w:ind w:left="1134" w:firstLine="0"/>
      </w:pPr>
    </w:lvl>
    <w:lvl w:ilvl="3">
      <w:start w:val="1"/>
      <w:numFmt w:val="none"/>
      <w:lvlRestart w:val="0"/>
      <w:suff w:val="nothing"/>
      <w:lvlText w:val=""/>
      <w:lvlJc w:val="left"/>
      <w:pPr>
        <w:tabs>
          <w:tab w:val="num" w:pos="1134"/>
        </w:tabs>
        <w:ind w:left="1134" w:firstLine="0"/>
      </w:pPr>
    </w:lvl>
    <w:lvl w:ilvl="4">
      <w:start w:val="1"/>
      <w:numFmt w:val="none"/>
      <w:lvlRestart w:val="0"/>
      <w:suff w:val="nothing"/>
      <w:lvlText w:val=""/>
      <w:lvlJc w:val="left"/>
      <w:pPr>
        <w:tabs>
          <w:tab w:val="num" w:pos="1502"/>
        </w:tabs>
        <w:ind w:left="1502" w:hanging="368"/>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4093287"/>
    <w:multiLevelType w:val="hybridMultilevel"/>
    <w:tmpl w:val="28EA20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FE94A48"/>
    <w:multiLevelType w:val="multilevel"/>
    <w:tmpl w:val="BF7ED606"/>
    <w:lvl w:ilvl="0">
      <w:start w:val="1"/>
      <w:numFmt w:val="none"/>
      <w:lvlRestart w:val="0"/>
      <w:suff w:val="nothing"/>
      <w:lvlText w:val=""/>
      <w:lvlJc w:val="left"/>
      <w:pPr>
        <w:tabs>
          <w:tab w:val="num" w:pos="1134"/>
        </w:tabs>
        <w:ind w:left="1134" w:firstLine="0"/>
      </w:pPr>
    </w:lvl>
    <w:lvl w:ilvl="1">
      <w:start w:val="1"/>
      <w:numFmt w:val="decimal"/>
      <w:lvlText w:val="%2."/>
      <w:lvlJc w:val="left"/>
      <w:pPr>
        <w:tabs>
          <w:tab w:val="num" w:pos="1134"/>
        </w:tabs>
        <w:ind w:left="1134" w:firstLine="0"/>
      </w:pPr>
    </w:lvl>
    <w:lvl w:ilvl="2">
      <w:start w:val="1"/>
      <w:numFmt w:val="none"/>
      <w:lvlRestart w:val="0"/>
      <w:suff w:val="nothing"/>
      <w:lvlText w:val=""/>
      <w:lvlJc w:val="left"/>
      <w:pPr>
        <w:tabs>
          <w:tab w:val="num" w:pos="1134"/>
        </w:tabs>
        <w:ind w:left="1134" w:firstLine="0"/>
      </w:pPr>
    </w:lvl>
    <w:lvl w:ilvl="3">
      <w:start w:val="1"/>
      <w:numFmt w:val="none"/>
      <w:lvlRestart w:val="0"/>
      <w:suff w:val="nothing"/>
      <w:lvlText w:val=""/>
      <w:lvlJc w:val="left"/>
      <w:pPr>
        <w:tabs>
          <w:tab w:val="num" w:pos="1134"/>
        </w:tabs>
        <w:ind w:left="1134" w:firstLine="0"/>
      </w:pPr>
    </w:lvl>
    <w:lvl w:ilvl="4">
      <w:start w:val="1"/>
      <w:numFmt w:val="none"/>
      <w:lvlRestart w:val="0"/>
      <w:suff w:val="nothing"/>
      <w:lvlText w:val=""/>
      <w:lvlJc w:val="left"/>
      <w:pPr>
        <w:tabs>
          <w:tab w:val="num" w:pos="1502"/>
        </w:tabs>
        <w:ind w:left="1502" w:hanging="368"/>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4ABF3C8A"/>
    <w:multiLevelType w:val="multilevel"/>
    <w:tmpl w:val="BF7ED606"/>
    <w:lvl w:ilvl="0">
      <w:start w:val="1"/>
      <w:numFmt w:val="none"/>
      <w:lvlRestart w:val="0"/>
      <w:suff w:val="nothing"/>
      <w:lvlText w:val=""/>
      <w:lvlJc w:val="left"/>
      <w:pPr>
        <w:tabs>
          <w:tab w:val="num" w:pos="1134"/>
        </w:tabs>
        <w:ind w:left="1134" w:firstLine="0"/>
      </w:pPr>
    </w:lvl>
    <w:lvl w:ilvl="1">
      <w:start w:val="1"/>
      <w:numFmt w:val="decimal"/>
      <w:lvlText w:val="%2."/>
      <w:lvlJc w:val="left"/>
      <w:pPr>
        <w:tabs>
          <w:tab w:val="num" w:pos="1134"/>
        </w:tabs>
        <w:ind w:left="1134" w:firstLine="0"/>
      </w:pPr>
    </w:lvl>
    <w:lvl w:ilvl="2">
      <w:start w:val="1"/>
      <w:numFmt w:val="none"/>
      <w:lvlRestart w:val="0"/>
      <w:suff w:val="nothing"/>
      <w:lvlText w:val=""/>
      <w:lvlJc w:val="left"/>
      <w:pPr>
        <w:tabs>
          <w:tab w:val="num" w:pos="1134"/>
        </w:tabs>
        <w:ind w:left="1134" w:firstLine="0"/>
      </w:pPr>
    </w:lvl>
    <w:lvl w:ilvl="3">
      <w:start w:val="1"/>
      <w:numFmt w:val="none"/>
      <w:lvlRestart w:val="0"/>
      <w:suff w:val="nothing"/>
      <w:lvlText w:val=""/>
      <w:lvlJc w:val="left"/>
      <w:pPr>
        <w:tabs>
          <w:tab w:val="num" w:pos="1134"/>
        </w:tabs>
        <w:ind w:left="1134" w:firstLine="0"/>
      </w:pPr>
    </w:lvl>
    <w:lvl w:ilvl="4">
      <w:start w:val="1"/>
      <w:numFmt w:val="none"/>
      <w:lvlRestart w:val="0"/>
      <w:suff w:val="nothing"/>
      <w:lvlText w:val=""/>
      <w:lvlJc w:val="left"/>
      <w:pPr>
        <w:tabs>
          <w:tab w:val="num" w:pos="1502"/>
        </w:tabs>
        <w:ind w:left="1502" w:hanging="368"/>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650B209D"/>
    <w:multiLevelType w:val="multilevel"/>
    <w:tmpl w:val="BF7ED606"/>
    <w:lvl w:ilvl="0">
      <w:start w:val="1"/>
      <w:numFmt w:val="none"/>
      <w:lvlRestart w:val="0"/>
      <w:suff w:val="nothing"/>
      <w:lvlText w:val=""/>
      <w:lvlJc w:val="left"/>
      <w:pPr>
        <w:tabs>
          <w:tab w:val="num" w:pos="1134"/>
        </w:tabs>
        <w:ind w:left="1134" w:firstLine="0"/>
      </w:pPr>
    </w:lvl>
    <w:lvl w:ilvl="1">
      <w:start w:val="1"/>
      <w:numFmt w:val="decimal"/>
      <w:lvlText w:val="%2."/>
      <w:lvlJc w:val="left"/>
      <w:pPr>
        <w:tabs>
          <w:tab w:val="num" w:pos="1134"/>
        </w:tabs>
        <w:ind w:left="1134" w:firstLine="0"/>
      </w:pPr>
    </w:lvl>
    <w:lvl w:ilvl="2">
      <w:start w:val="1"/>
      <w:numFmt w:val="none"/>
      <w:lvlRestart w:val="0"/>
      <w:suff w:val="nothing"/>
      <w:lvlText w:val=""/>
      <w:lvlJc w:val="left"/>
      <w:pPr>
        <w:tabs>
          <w:tab w:val="num" w:pos="1134"/>
        </w:tabs>
        <w:ind w:left="1134" w:firstLine="0"/>
      </w:pPr>
    </w:lvl>
    <w:lvl w:ilvl="3">
      <w:start w:val="1"/>
      <w:numFmt w:val="none"/>
      <w:lvlRestart w:val="0"/>
      <w:suff w:val="nothing"/>
      <w:lvlText w:val=""/>
      <w:lvlJc w:val="left"/>
      <w:pPr>
        <w:tabs>
          <w:tab w:val="num" w:pos="1134"/>
        </w:tabs>
        <w:ind w:left="1134" w:firstLine="0"/>
      </w:pPr>
    </w:lvl>
    <w:lvl w:ilvl="4">
      <w:start w:val="1"/>
      <w:numFmt w:val="none"/>
      <w:lvlRestart w:val="0"/>
      <w:suff w:val="nothing"/>
      <w:lvlText w:val=""/>
      <w:lvlJc w:val="left"/>
      <w:pPr>
        <w:tabs>
          <w:tab w:val="num" w:pos="1502"/>
        </w:tabs>
        <w:ind w:left="1502" w:hanging="368"/>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67FD1552"/>
    <w:multiLevelType w:val="hybridMultilevel"/>
    <w:tmpl w:val="32D6B9C8"/>
    <w:lvl w:ilvl="0" w:tplc="0C09000F">
      <w:start w:val="1"/>
      <w:numFmt w:val="decimal"/>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1">
    <w:nsid w:val="6E933F84"/>
    <w:multiLevelType w:val="multilevel"/>
    <w:tmpl w:val="68A29A94"/>
    <w:name w:val="CSHeadings"/>
    <w:lvl w:ilvl="0">
      <w:start w:val="1"/>
      <w:numFmt w:val="none"/>
      <w:lvlRestart w:val="0"/>
      <w:pStyle w:val="Heading1"/>
      <w:suff w:val="nothing"/>
      <w:lvlText w:val=""/>
      <w:lvlJc w:val="left"/>
      <w:pPr>
        <w:tabs>
          <w:tab w:val="num" w:pos="1134"/>
        </w:tabs>
        <w:ind w:left="1134" w:firstLine="0"/>
      </w:pPr>
    </w:lvl>
    <w:lvl w:ilvl="1">
      <w:start w:val="1"/>
      <w:numFmt w:val="none"/>
      <w:lvlRestart w:val="0"/>
      <w:pStyle w:val="Heading2"/>
      <w:suff w:val="nothing"/>
      <w:lvlText w:val=""/>
      <w:lvlJc w:val="left"/>
      <w:pPr>
        <w:tabs>
          <w:tab w:val="num" w:pos="1134"/>
        </w:tabs>
        <w:ind w:left="1134" w:firstLine="0"/>
      </w:pPr>
    </w:lvl>
    <w:lvl w:ilvl="2">
      <w:start w:val="1"/>
      <w:numFmt w:val="none"/>
      <w:lvlRestart w:val="0"/>
      <w:pStyle w:val="Heading3"/>
      <w:suff w:val="nothing"/>
      <w:lvlText w:val=""/>
      <w:lvlJc w:val="left"/>
      <w:pPr>
        <w:tabs>
          <w:tab w:val="num" w:pos="1134"/>
        </w:tabs>
        <w:ind w:left="1134" w:firstLine="0"/>
      </w:pPr>
    </w:lvl>
    <w:lvl w:ilvl="3">
      <w:start w:val="1"/>
      <w:numFmt w:val="none"/>
      <w:lvlRestart w:val="0"/>
      <w:pStyle w:val="Heading4"/>
      <w:suff w:val="nothing"/>
      <w:lvlText w:val=""/>
      <w:lvlJc w:val="left"/>
      <w:pPr>
        <w:tabs>
          <w:tab w:val="num" w:pos="1134"/>
        </w:tabs>
        <w:ind w:left="1134" w:firstLine="0"/>
      </w:pPr>
    </w:lvl>
    <w:lvl w:ilvl="4">
      <w:start w:val="1"/>
      <w:numFmt w:val="none"/>
      <w:lvlRestart w:val="0"/>
      <w:pStyle w:val="Heading5"/>
      <w:suff w:val="nothing"/>
      <w:lvlText w:val=""/>
      <w:lvlJc w:val="left"/>
      <w:pPr>
        <w:tabs>
          <w:tab w:val="num" w:pos="1502"/>
        </w:tabs>
        <w:ind w:left="1502" w:hanging="368"/>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78C72C69"/>
    <w:multiLevelType w:val="multilevel"/>
    <w:tmpl w:val="AED22E58"/>
    <w:lvl w:ilvl="0">
      <w:start w:val="1"/>
      <w:numFmt w:val="none"/>
      <w:lvlRestart w:val="0"/>
      <w:suff w:val="nothing"/>
      <w:lvlText w:val=""/>
      <w:lvlJc w:val="left"/>
      <w:pPr>
        <w:tabs>
          <w:tab w:val="num" w:pos="1134"/>
        </w:tabs>
        <w:ind w:left="1134" w:firstLine="0"/>
      </w:pPr>
    </w:lvl>
    <w:lvl w:ilvl="1">
      <w:start w:val="1"/>
      <w:numFmt w:val="bullet"/>
      <w:lvlText w:val=""/>
      <w:lvlJc w:val="left"/>
      <w:pPr>
        <w:tabs>
          <w:tab w:val="num" w:pos="1134"/>
        </w:tabs>
        <w:ind w:left="1134" w:firstLine="0"/>
      </w:pPr>
      <w:rPr>
        <w:rFonts w:ascii="Symbol" w:hAnsi="Symbol" w:hint="default"/>
      </w:rPr>
    </w:lvl>
    <w:lvl w:ilvl="2">
      <w:start w:val="1"/>
      <w:numFmt w:val="none"/>
      <w:lvlRestart w:val="0"/>
      <w:suff w:val="nothing"/>
      <w:lvlText w:val=""/>
      <w:lvlJc w:val="left"/>
      <w:pPr>
        <w:tabs>
          <w:tab w:val="num" w:pos="1134"/>
        </w:tabs>
        <w:ind w:left="1134" w:firstLine="0"/>
      </w:pPr>
    </w:lvl>
    <w:lvl w:ilvl="3">
      <w:start w:val="1"/>
      <w:numFmt w:val="none"/>
      <w:lvlRestart w:val="0"/>
      <w:suff w:val="nothing"/>
      <w:lvlText w:val=""/>
      <w:lvlJc w:val="left"/>
      <w:pPr>
        <w:tabs>
          <w:tab w:val="num" w:pos="1134"/>
        </w:tabs>
        <w:ind w:left="1134" w:firstLine="0"/>
      </w:pPr>
    </w:lvl>
    <w:lvl w:ilvl="4">
      <w:start w:val="1"/>
      <w:numFmt w:val="none"/>
      <w:lvlRestart w:val="0"/>
      <w:suff w:val="nothing"/>
      <w:lvlText w:val=""/>
      <w:lvlJc w:val="left"/>
      <w:pPr>
        <w:tabs>
          <w:tab w:val="num" w:pos="1502"/>
        </w:tabs>
        <w:ind w:left="1502" w:hanging="368"/>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7B4D06E4"/>
    <w:multiLevelType w:val="multilevel"/>
    <w:tmpl w:val="AED22E58"/>
    <w:lvl w:ilvl="0">
      <w:start w:val="1"/>
      <w:numFmt w:val="none"/>
      <w:lvlRestart w:val="0"/>
      <w:suff w:val="nothing"/>
      <w:lvlText w:val=""/>
      <w:lvlJc w:val="left"/>
      <w:pPr>
        <w:tabs>
          <w:tab w:val="num" w:pos="1134"/>
        </w:tabs>
        <w:ind w:left="1134" w:firstLine="0"/>
      </w:pPr>
    </w:lvl>
    <w:lvl w:ilvl="1">
      <w:start w:val="1"/>
      <w:numFmt w:val="bullet"/>
      <w:lvlText w:val=""/>
      <w:lvlJc w:val="left"/>
      <w:pPr>
        <w:tabs>
          <w:tab w:val="num" w:pos="1134"/>
        </w:tabs>
        <w:ind w:left="1134" w:firstLine="0"/>
      </w:pPr>
      <w:rPr>
        <w:rFonts w:ascii="Symbol" w:hAnsi="Symbol" w:hint="default"/>
      </w:rPr>
    </w:lvl>
    <w:lvl w:ilvl="2">
      <w:start w:val="1"/>
      <w:numFmt w:val="none"/>
      <w:lvlRestart w:val="0"/>
      <w:suff w:val="nothing"/>
      <w:lvlText w:val=""/>
      <w:lvlJc w:val="left"/>
      <w:pPr>
        <w:tabs>
          <w:tab w:val="num" w:pos="1134"/>
        </w:tabs>
        <w:ind w:left="1134" w:firstLine="0"/>
      </w:pPr>
    </w:lvl>
    <w:lvl w:ilvl="3">
      <w:start w:val="1"/>
      <w:numFmt w:val="none"/>
      <w:lvlRestart w:val="0"/>
      <w:suff w:val="nothing"/>
      <w:lvlText w:val=""/>
      <w:lvlJc w:val="left"/>
      <w:pPr>
        <w:tabs>
          <w:tab w:val="num" w:pos="1134"/>
        </w:tabs>
        <w:ind w:left="1134" w:firstLine="0"/>
      </w:pPr>
    </w:lvl>
    <w:lvl w:ilvl="4">
      <w:start w:val="1"/>
      <w:numFmt w:val="none"/>
      <w:lvlRestart w:val="0"/>
      <w:suff w:val="nothing"/>
      <w:lvlText w:val=""/>
      <w:lvlJc w:val="left"/>
      <w:pPr>
        <w:tabs>
          <w:tab w:val="num" w:pos="1502"/>
        </w:tabs>
        <w:ind w:left="1502" w:hanging="368"/>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3"/>
  </w:num>
  <w:num w:numId="3">
    <w:abstractNumId w:val="9"/>
  </w:num>
  <w:num w:numId="4">
    <w:abstractNumId w:val="2"/>
  </w:num>
  <w:num w:numId="5">
    <w:abstractNumId w:val="0"/>
  </w:num>
  <w:num w:numId="6">
    <w:abstractNumId w:val="4"/>
  </w:num>
  <w:num w:numId="7">
    <w:abstractNumId w:val="8"/>
  </w:num>
  <w:num w:numId="8">
    <w:abstractNumId w:val="7"/>
  </w:num>
  <w:num w:numId="9">
    <w:abstractNumId w:val="13"/>
  </w:num>
  <w:num w:numId="10">
    <w:abstractNumId w:val="5"/>
  </w:num>
  <w:num w:numId="11">
    <w:abstractNumId w:val="1"/>
  </w:num>
  <w:num w:numId="12">
    <w:abstractNumId w:val="12"/>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032"/>
    <w:rsid w:val="000B705A"/>
    <w:rsid w:val="000F1032"/>
    <w:rsid w:val="00116F18"/>
    <w:rsid w:val="001E1757"/>
    <w:rsid w:val="003C3314"/>
    <w:rsid w:val="00442341"/>
    <w:rsid w:val="005016B2"/>
    <w:rsid w:val="006935D5"/>
    <w:rsid w:val="00C85D02"/>
    <w:rsid w:val="00D84D70"/>
    <w:rsid w:val="00E26CC8"/>
    <w:rsid w:val="00E508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032"/>
  </w:style>
  <w:style w:type="paragraph" w:styleId="Heading1">
    <w:name w:val="heading 1"/>
    <w:basedOn w:val="Normal"/>
    <w:next w:val="BodyText"/>
    <w:link w:val="Heading1Char"/>
    <w:unhideWhenUsed/>
    <w:qFormat/>
    <w:rsid w:val="000F1032"/>
    <w:pPr>
      <w:keepNext/>
      <w:keepLines/>
      <w:numPr>
        <w:numId w:val="1"/>
      </w:numPr>
      <w:tabs>
        <w:tab w:val="clear" w:pos="1134"/>
      </w:tabs>
      <w:spacing w:after="400" w:line="320" w:lineRule="atLeast"/>
      <w:outlineLvl w:val="0"/>
    </w:pPr>
    <w:rPr>
      <w:rFonts w:ascii="Calibri" w:eastAsiaTheme="majorEastAsia" w:hAnsi="Calibri" w:cs="Calibri"/>
      <w:bCs/>
      <w:color w:val="000000"/>
      <w:spacing w:val="20"/>
      <w:sz w:val="32"/>
      <w:szCs w:val="28"/>
      <w:u w:color="000000"/>
    </w:rPr>
  </w:style>
  <w:style w:type="paragraph" w:styleId="Heading2">
    <w:name w:val="heading 2"/>
    <w:basedOn w:val="Heading1"/>
    <w:next w:val="BodyText"/>
    <w:link w:val="Heading2Char"/>
    <w:unhideWhenUsed/>
    <w:qFormat/>
    <w:rsid w:val="000F1032"/>
    <w:pPr>
      <w:numPr>
        <w:ilvl w:val="1"/>
      </w:numPr>
      <w:tabs>
        <w:tab w:val="clear" w:pos="1134"/>
      </w:tabs>
      <w:spacing w:before="320" w:line="280" w:lineRule="atLeast"/>
      <w:outlineLvl w:val="1"/>
    </w:pPr>
    <w:rPr>
      <w:b/>
      <w:bCs w:val="0"/>
      <w:spacing w:val="0"/>
      <w:sz w:val="24"/>
      <w:szCs w:val="26"/>
    </w:rPr>
  </w:style>
  <w:style w:type="paragraph" w:styleId="Heading3">
    <w:name w:val="heading 3"/>
    <w:basedOn w:val="Heading2"/>
    <w:next w:val="BodyText"/>
    <w:link w:val="Heading3Char"/>
    <w:unhideWhenUsed/>
    <w:qFormat/>
    <w:rsid w:val="000F1032"/>
    <w:pPr>
      <w:numPr>
        <w:ilvl w:val="2"/>
      </w:numPr>
      <w:tabs>
        <w:tab w:val="clear" w:pos="1134"/>
      </w:tabs>
      <w:spacing w:before="240"/>
      <w:outlineLvl w:val="2"/>
    </w:pPr>
    <w:rPr>
      <w:bCs/>
      <w:sz w:val="20"/>
    </w:rPr>
  </w:style>
  <w:style w:type="paragraph" w:styleId="Heading4">
    <w:name w:val="heading 4"/>
    <w:basedOn w:val="Heading3"/>
    <w:next w:val="BodyText"/>
    <w:link w:val="Heading4Char"/>
    <w:uiPriority w:val="9"/>
    <w:unhideWhenUsed/>
    <w:qFormat/>
    <w:rsid w:val="000F1032"/>
    <w:pPr>
      <w:numPr>
        <w:ilvl w:val="3"/>
      </w:numPr>
      <w:tabs>
        <w:tab w:val="clear" w:pos="1134"/>
      </w:tabs>
      <w:outlineLvl w:val="3"/>
    </w:pPr>
    <w:rPr>
      <w:bCs w:val="0"/>
      <w:iCs/>
      <w:color w:val="5A4A61"/>
    </w:rPr>
  </w:style>
  <w:style w:type="paragraph" w:styleId="Heading5">
    <w:name w:val="heading 5"/>
    <w:basedOn w:val="Heading4"/>
    <w:next w:val="BodyText"/>
    <w:link w:val="Heading5Char"/>
    <w:uiPriority w:val="9"/>
    <w:semiHidden/>
    <w:unhideWhenUsed/>
    <w:qFormat/>
    <w:rsid w:val="000F1032"/>
    <w:pPr>
      <w:numPr>
        <w:ilvl w:val="4"/>
      </w:numPr>
      <w:tabs>
        <w:tab w:val="left" w:pos="1502"/>
      </w:tabs>
      <w:spacing w:before="120"/>
      <w:outlineLvl w:val="4"/>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1032"/>
    <w:rPr>
      <w:rFonts w:ascii="Calibri" w:eastAsiaTheme="majorEastAsia" w:hAnsi="Calibri" w:cs="Calibri"/>
      <w:bCs/>
      <w:color w:val="000000"/>
      <w:spacing w:val="20"/>
      <w:sz w:val="32"/>
      <w:szCs w:val="28"/>
      <w:u w:color="000000"/>
    </w:rPr>
  </w:style>
  <w:style w:type="character" w:customStyle="1" w:styleId="Heading2Char">
    <w:name w:val="Heading 2 Char"/>
    <w:basedOn w:val="DefaultParagraphFont"/>
    <w:link w:val="Heading2"/>
    <w:rsid w:val="000F1032"/>
    <w:rPr>
      <w:rFonts w:ascii="Calibri" w:eastAsiaTheme="majorEastAsia" w:hAnsi="Calibri" w:cs="Calibri"/>
      <w:b/>
      <w:color w:val="000000"/>
      <w:sz w:val="24"/>
      <w:szCs w:val="26"/>
      <w:u w:color="000000"/>
    </w:rPr>
  </w:style>
  <w:style w:type="character" w:customStyle="1" w:styleId="Heading3Char">
    <w:name w:val="Heading 3 Char"/>
    <w:basedOn w:val="DefaultParagraphFont"/>
    <w:link w:val="Heading3"/>
    <w:rsid w:val="000F1032"/>
    <w:rPr>
      <w:rFonts w:ascii="Calibri" w:eastAsiaTheme="majorEastAsia" w:hAnsi="Calibri" w:cs="Calibri"/>
      <w:b/>
      <w:bCs/>
      <w:color w:val="000000"/>
      <w:sz w:val="20"/>
      <w:szCs w:val="26"/>
      <w:u w:color="000000"/>
    </w:rPr>
  </w:style>
  <w:style w:type="character" w:customStyle="1" w:styleId="Heading4Char">
    <w:name w:val="Heading 4 Char"/>
    <w:basedOn w:val="DefaultParagraphFont"/>
    <w:link w:val="Heading4"/>
    <w:uiPriority w:val="9"/>
    <w:rsid w:val="000F1032"/>
    <w:rPr>
      <w:rFonts w:ascii="Calibri" w:eastAsiaTheme="majorEastAsia" w:hAnsi="Calibri" w:cs="Calibri"/>
      <w:b/>
      <w:iCs/>
      <w:color w:val="5A4A61"/>
      <w:sz w:val="20"/>
      <w:szCs w:val="26"/>
      <w:u w:color="000000"/>
    </w:rPr>
  </w:style>
  <w:style w:type="character" w:customStyle="1" w:styleId="Heading5Char">
    <w:name w:val="Heading 5 Char"/>
    <w:basedOn w:val="DefaultParagraphFont"/>
    <w:link w:val="Heading5"/>
    <w:uiPriority w:val="9"/>
    <w:semiHidden/>
    <w:rsid w:val="000F1032"/>
    <w:rPr>
      <w:rFonts w:ascii="Calibri" w:eastAsiaTheme="majorEastAsia" w:hAnsi="Calibri" w:cs="Calibri"/>
      <w:b/>
      <w:iCs/>
      <w:color w:val="000000"/>
      <w:sz w:val="20"/>
      <w:szCs w:val="26"/>
      <w:u w:color="000000"/>
    </w:rPr>
  </w:style>
  <w:style w:type="paragraph" w:styleId="Header">
    <w:name w:val="header"/>
    <w:basedOn w:val="Normal"/>
    <w:link w:val="HeaderChar"/>
    <w:uiPriority w:val="99"/>
    <w:semiHidden/>
    <w:unhideWhenUsed/>
    <w:rsid w:val="000F103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F1032"/>
  </w:style>
  <w:style w:type="paragraph" w:customStyle="1" w:styleId="NormalBase">
    <w:name w:val="Normal Base"/>
    <w:rsid w:val="000F1032"/>
    <w:pPr>
      <w:spacing w:after="0" w:line="240" w:lineRule="auto"/>
    </w:pPr>
    <w:rPr>
      <w:rFonts w:ascii="Calibri" w:hAnsi="Calibri" w:cs="Calibri"/>
      <w:color w:val="000000"/>
      <w:sz w:val="20"/>
      <w:u w:color="000000"/>
    </w:rPr>
  </w:style>
  <w:style w:type="paragraph" w:customStyle="1" w:styleId="FooterReport">
    <w:name w:val="Footer: Report"/>
    <w:basedOn w:val="Normal"/>
    <w:semiHidden/>
    <w:unhideWhenUsed/>
    <w:rsid w:val="000F1032"/>
    <w:pPr>
      <w:tabs>
        <w:tab w:val="center" w:pos="5329"/>
      </w:tabs>
      <w:spacing w:after="0" w:line="240" w:lineRule="auto"/>
      <w:jc w:val="center"/>
    </w:pPr>
    <w:rPr>
      <w:rFonts w:ascii="Calibri" w:hAnsi="Calibri" w:cs="Calibri"/>
      <w:b/>
      <w:color w:val="FFFFFF"/>
      <w:sz w:val="20"/>
      <w:u w:color="000000"/>
    </w:rPr>
  </w:style>
  <w:style w:type="paragraph" w:customStyle="1" w:styleId="FooterCode">
    <w:name w:val="Footer: Code"/>
    <w:basedOn w:val="Normal"/>
    <w:qFormat/>
    <w:rsid w:val="000F1032"/>
    <w:pPr>
      <w:spacing w:before="560" w:after="1080" w:line="240" w:lineRule="auto"/>
      <w:ind w:right="-992"/>
      <w:jc w:val="right"/>
    </w:pPr>
    <w:rPr>
      <w:rFonts w:ascii="Calibri" w:hAnsi="Calibri" w:cs="Calibri"/>
      <w:color w:val="000000"/>
      <w:sz w:val="14"/>
      <w:u w:color="000000"/>
    </w:rPr>
  </w:style>
  <w:style w:type="paragraph" w:customStyle="1" w:styleId="FooterBase">
    <w:name w:val="Footer: Base"/>
    <w:basedOn w:val="Normal"/>
    <w:qFormat/>
    <w:rsid w:val="000F1032"/>
    <w:pPr>
      <w:spacing w:after="0" w:line="240" w:lineRule="auto"/>
    </w:pPr>
    <w:rPr>
      <w:rFonts w:ascii="Times New Roman" w:eastAsiaTheme="minorEastAsia" w:hAnsi="Times New Roman" w:cs="Times New Roman"/>
      <w:sz w:val="14"/>
      <w:szCs w:val="24"/>
      <w:u w:color="000000"/>
      <w:lang w:val="en-US"/>
    </w:rPr>
  </w:style>
  <w:style w:type="character" w:styleId="Hyperlink">
    <w:name w:val="Hyperlink"/>
    <w:basedOn w:val="DefaultParagraphFont"/>
    <w:uiPriority w:val="99"/>
    <w:unhideWhenUsed/>
    <w:rsid w:val="000F1032"/>
    <w:rPr>
      <w:color w:val="0000FF" w:themeColor="hyperlink"/>
      <w:u w:val="single"/>
    </w:rPr>
  </w:style>
  <w:style w:type="paragraph" w:styleId="ListParagraph">
    <w:name w:val="List Paragraph"/>
    <w:basedOn w:val="Normal"/>
    <w:uiPriority w:val="34"/>
    <w:qFormat/>
    <w:rsid w:val="000F1032"/>
    <w:pPr>
      <w:ind w:left="720"/>
      <w:contextualSpacing/>
    </w:pPr>
  </w:style>
  <w:style w:type="paragraph" w:styleId="NormalWeb">
    <w:name w:val="Normal (Web)"/>
    <w:basedOn w:val="Normal"/>
    <w:uiPriority w:val="99"/>
    <w:semiHidden/>
    <w:unhideWhenUsed/>
    <w:rsid w:val="000F103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odyText">
    <w:name w:val="Body Text"/>
    <w:basedOn w:val="Normal"/>
    <w:link w:val="BodyTextChar"/>
    <w:uiPriority w:val="99"/>
    <w:semiHidden/>
    <w:unhideWhenUsed/>
    <w:rsid w:val="000F1032"/>
    <w:pPr>
      <w:spacing w:after="120"/>
    </w:pPr>
  </w:style>
  <w:style w:type="character" w:customStyle="1" w:styleId="BodyTextChar">
    <w:name w:val="Body Text Char"/>
    <w:basedOn w:val="DefaultParagraphFont"/>
    <w:link w:val="BodyText"/>
    <w:uiPriority w:val="99"/>
    <w:semiHidden/>
    <w:rsid w:val="000F1032"/>
  </w:style>
  <w:style w:type="paragraph" w:styleId="BalloonText">
    <w:name w:val="Balloon Text"/>
    <w:basedOn w:val="Normal"/>
    <w:link w:val="BalloonTextChar"/>
    <w:uiPriority w:val="99"/>
    <w:semiHidden/>
    <w:unhideWhenUsed/>
    <w:rsid w:val="000F10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0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032"/>
  </w:style>
  <w:style w:type="paragraph" w:styleId="Heading1">
    <w:name w:val="heading 1"/>
    <w:basedOn w:val="Normal"/>
    <w:next w:val="BodyText"/>
    <w:link w:val="Heading1Char"/>
    <w:unhideWhenUsed/>
    <w:qFormat/>
    <w:rsid w:val="000F1032"/>
    <w:pPr>
      <w:keepNext/>
      <w:keepLines/>
      <w:numPr>
        <w:numId w:val="1"/>
      </w:numPr>
      <w:tabs>
        <w:tab w:val="clear" w:pos="1134"/>
      </w:tabs>
      <w:spacing w:after="400" w:line="320" w:lineRule="atLeast"/>
      <w:outlineLvl w:val="0"/>
    </w:pPr>
    <w:rPr>
      <w:rFonts w:ascii="Calibri" w:eastAsiaTheme="majorEastAsia" w:hAnsi="Calibri" w:cs="Calibri"/>
      <w:bCs/>
      <w:color w:val="000000"/>
      <w:spacing w:val="20"/>
      <w:sz w:val="32"/>
      <w:szCs w:val="28"/>
      <w:u w:color="000000"/>
    </w:rPr>
  </w:style>
  <w:style w:type="paragraph" w:styleId="Heading2">
    <w:name w:val="heading 2"/>
    <w:basedOn w:val="Heading1"/>
    <w:next w:val="BodyText"/>
    <w:link w:val="Heading2Char"/>
    <w:unhideWhenUsed/>
    <w:qFormat/>
    <w:rsid w:val="000F1032"/>
    <w:pPr>
      <w:numPr>
        <w:ilvl w:val="1"/>
      </w:numPr>
      <w:tabs>
        <w:tab w:val="clear" w:pos="1134"/>
      </w:tabs>
      <w:spacing w:before="320" w:line="280" w:lineRule="atLeast"/>
      <w:outlineLvl w:val="1"/>
    </w:pPr>
    <w:rPr>
      <w:b/>
      <w:bCs w:val="0"/>
      <w:spacing w:val="0"/>
      <w:sz w:val="24"/>
      <w:szCs w:val="26"/>
    </w:rPr>
  </w:style>
  <w:style w:type="paragraph" w:styleId="Heading3">
    <w:name w:val="heading 3"/>
    <w:basedOn w:val="Heading2"/>
    <w:next w:val="BodyText"/>
    <w:link w:val="Heading3Char"/>
    <w:unhideWhenUsed/>
    <w:qFormat/>
    <w:rsid w:val="000F1032"/>
    <w:pPr>
      <w:numPr>
        <w:ilvl w:val="2"/>
      </w:numPr>
      <w:tabs>
        <w:tab w:val="clear" w:pos="1134"/>
      </w:tabs>
      <w:spacing w:before="240"/>
      <w:outlineLvl w:val="2"/>
    </w:pPr>
    <w:rPr>
      <w:bCs/>
      <w:sz w:val="20"/>
    </w:rPr>
  </w:style>
  <w:style w:type="paragraph" w:styleId="Heading4">
    <w:name w:val="heading 4"/>
    <w:basedOn w:val="Heading3"/>
    <w:next w:val="BodyText"/>
    <w:link w:val="Heading4Char"/>
    <w:uiPriority w:val="9"/>
    <w:unhideWhenUsed/>
    <w:qFormat/>
    <w:rsid w:val="000F1032"/>
    <w:pPr>
      <w:numPr>
        <w:ilvl w:val="3"/>
      </w:numPr>
      <w:tabs>
        <w:tab w:val="clear" w:pos="1134"/>
      </w:tabs>
      <w:outlineLvl w:val="3"/>
    </w:pPr>
    <w:rPr>
      <w:bCs w:val="0"/>
      <w:iCs/>
      <w:color w:val="5A4A61"/>
    </w:rPr>
  </w:style>
  <w:style w:type="paragraph" w:styleId="Heading5">
    <w:name w:val="heading 5"/>
    <w:basedOn w:val="Heading4"/>
    <w:next w:val="BodyText"/>
    <w:link w:val="Heading5Char"/>
    <w:uiPriority w:val="9"/>
    <w:semiHidden/>
    <w:unhideWhenUsed/>
    <w:qFormat/>
    <w:rsid w:val="000F1032"/>
    <w:pPr>
      <w:numPr>
        <w:ilvl w:val="4"/>
      </w:numPr>
      <w:tabs>
        <w:tab w:val="left" w:pos="1502"/>
      </w:tabs>
      <w:spacing w:before="120"/>
      <w:outlineLvl w:val="4"/>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1032"/>
    <w:rPr>
      <w:rFonts w:ascii="Calibri" w:eastAsiaTheme="majorEastAsia" w:hAnsi="Calibri" w:cs="Calibri"/>
      <w:bCs/>
      <w:color w:val="000000"/>
      <w:spacing w:val="20"/>
      <w:sz w:val="32"/>
      <w:szCs w:val="28"/>
      <w:u w:color="000000"/>
    </w:rPr>
  </w:style>
  <w:style w:type="character" w:customStyle="1" w:styleId="Heading2Char">
    <w:name w:val="Heading 2 Char"/>
    <w:basedOn w:val="DefaultParagraphFont"/>
    <w:link w:val="Heading2"/>
    <w:rsid w:val="000F1032"/>
    <w:rPr>
      <w:rFonts w:ascii="Calibri" w:eastAsiaTheme="majorEastAsia" w:hAnsi="Calibri" w:cs="Calibri"/>
      <w:b/>
      <w:color w:val="000000"/>
      <w:sz w:val="24"/>
      <w:szCs w:val="26"/>
      <w:u w:color="000000"/>
    </w:rPr>
  </w:style>
  <w:style w:type="character" w:customStyle="1" w:styleId="Heading3Char">
    <w:name w:val="Heading 3 Char"/>
    <w:basedOn w:val="DefaultParagraphFont"/>
    <w:link w:val="Heading3"/>
    <w:rsid w:val="000F1032"/>
    <w:rPr>
      <w:rFonts w:ascii="Calibri" w:eastAsiaTheme="majorEastAsia" w:hAnsi="Calibri" w:cs="Calibri"/>
      <w:b/>
      <w:bCs/>
      <w:color w:val="000000"/>
      <w:sz w:val="20"/>
      <w:szCs w:val="26"/>
      <w:u w:color="000000"/>
    </w:rPr>
  </w:style>
  <w:style w:type="character" w:customStyle="1" w:styleId="Heading4Char">
    <w:name w:val="Heading 4 Char"/>
    <w:basedOn w:val="DefaultParagraphFont"/>
    <w:link w:val="Heading4"/>
    <w:uiPriority w:val="9"/>
    <w:rsid w:val="000F1032"/>
    <w:rPr>
      <w:rFonts w:ascii="Calibri" w:eastAsiaTheme="majorEastAsia" w:hAnsi="Calibri" w:cs="Calibri"/>
      <w:b/>
      <w:iCs/>
      <w:color w:val="5A4A61"/>
      <w:sz w:val="20"/>
      <w:szCs w:val="26"/>
      <w:u w:color="000000"/>
    </w:rPr>
  </w:style>
  <w:style w:type="character" w:customStyle="1" w:styleId="Heading5Char">
    <w:name w:val="Heading 5 Char"/>
    <w:basedOn w:val="DefaultParagraphFont"/>
    <w:link w:val="Heading5"/>
    <w:uiPriority w:val="9"/>
    <w:semiHidden/>
    <w:rsid w:val="000F1032"/>
    <w:rPr>
      <w:rFonts w:ascii="Calibri" w:eastAsiaTheme="majorEastAsia" w:hAnsi="Calibri" w:cs="Calibri"/>
      <w:b/>
      <w:iCs/>
      <w:color w:val="000000"/>
      <w:sz w:val="20"/>
      <w:szCs w:val="26"/>
      <w:u w:color="000000"/>
    </w:rPr>
  </w:style>
  <w:style w:type="paragraph" w:styleId="Header">
    <w:name w:val="header"/>
    <w:basedOn w:val="Normal"/>
    <w:link w:val="HeaderChar"/>
    <w:uiPriority w:val="99"/>
    <w:semiHidden/>
    <w:unhideWhenUsed/>
    <w:rsid w:val="000F103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F1032"/>
  </w:style>
  <w:style w:type="paragraph" w:customStyle="1" w:styleId="NormalBase">
    <w:name w:val="Normal Base"/>
    <w:rsid w:val="000F1032"/>
    <w:pPr>
      <w:spacing w:after="0" w:line="240" w:lineRule="auto"/>
    </w:pPr>
    <w:rPr>
      <w:rFonts w:ascii="Calibri" w:hAnsi="Calibri" w:cs="Calibri"/>
      <w:color w:val="000000"/>
      <w:sz w:val="20"/>
      <w:u w:color="000000"/>
    </w:rPr>
  </w:style>
  <w:style w:type="paragraph" w:customStyle="1" w:styleId="FooterReport">
    <w:name w:val="Footer: Report"/>
    <w:basedOn w:val="Normal"/>
    <w:semiHidden/>
    <w:unhideWhenUsed/>
    <w:rsid w:val="000F1032"/>
    <w:pPr>
      <w:tabs>
        <w:tab w:val="center" w:pos="5329"/>
      </w:tabs>
      <w:spacing w:after="0" w:line="240" w:lineRule="auto"/>
      <w:jc w:val="center"/>
    </w:pPr>
    <w:rPr>
      <w:rFonts w:ascii="Calibri" w:hAnsi="Calibri" w:cs="Calibri"/>
      <w:b/>
      <w:color w:val="FFFFFF"/>
      <w:sz w:val="20"/>
      <w:u w:color="000000"/>
    </w:rPr>
  </w:style>
  <w:style w:type="paragraph" w:customStyle="1" w:styleId="FooterCode">
    <w:name w:val="Footer: Code"/>
    <w:basedOn w:val="Normal"/>
    <w:qFormat/>
    <w:rsid w:val="000F1032"/>
    <w:pPr>
      <w:spacing w:before="560" w:after="1080" w:line="240" w:lineRule="auto"/>
      <w:ind w:right="-992"/>
      <w:jc w:val="right"/>
    </w:pPr>
    <w:rPr>
      <w:rFonts w:ascii="Calibri" w:hAnsi="Calibri" w:cs="Calibri"/>
      <w:color w:val="000000"/>
      <w:sz w:val="14"/>
      <w:u w:color="000000"/>
    </w:rPr>
  </w:style>
  <w:style w:type="paragraph" w:customStyle="1" w:styleId="FooterBase">
    <w:name w:val="Footer: Base"/>
    <w:basedOn w:val="Normal"/>
    <w:qFormat/>
    <w:rsid w:val="000F1032"/>
    <w:pPr>
      <w:spacing w:after="0" w:line="240" w:lineRule="auto"/>
    </w:pPr>
    <w:rPr>
      <w:rFonts w:ascii="Times New Roman" w:eastAsiaTheme="minorEastAsia" w:hAnsi="Times New Roman" w:cs="Times New Roman"/>
      <w:sz w:val="14"/>
      <w:szCs w:val="24"/>
      <w:u w:color="000000"/>
      <w:lang w:val="en-US"/>
    </w:rPr>
  </w:style>
  <w:style w:type="character" w:styleId="Hyperlink">
    <w:name w:val="Hyperlink"/>
    <w:basedOn w:val="DefaultParagraphFont"/>
    <w:uiPriority w:val="99"/>
    <w:unhideWhenUsed/>
    <w:rsid w:val="000F1032"/>
    <w:rPr>
      <w:color w:val="0000FF" w:themeColor="hyperlink"/>
      <w:u w:val="single"/>
    </w:rPr>
  </w:style>
  <w:style w:type="paragraph" w:styleId="ListParagraph">
    <w:name w:val="List Paragraph"/>
    <w:basedOn w:val="Normal"/>
    <w:uiPriority w:val="34"/>
    <w:qFormat/>
    <w:rsid w:val="000F1032"/>
    <w:pPr>
      <w:ind w:left="720"/>
      <w:contextualSpacing/>
    </w:pPr>
  </w:style>
  <w:style w:type="paragraph" w:styleId="NormalWeb">
    <w:name w:val="Normal (Web)"/>
    <w:basedOn w:val="Normal"/>
    <w:uiPriority w:val="99"/>
    <w:semiHidden/>
    <w:unhideWhenUsed/>
    <w:rsid w:val="000F103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odyText">
    <w:name w:val="Body Text"/>
    <w:basedOn w:val="Normal"/>
    <w:link w:val="BodyTextChar"/>
    <w:uiPriority w:val="99"/>
    <w:semiHidden/>
    <w:unhideWhenUsed/>
    <w:rsid w:val="000F1032"/>
    <w:pPr>
      <w:spacing w:after="120"/>
    </w:pPr>
  </w:style>
  <w:style w:type="character" w:customStyle="1" w:styleId="BodyTextChar">
    <w:name w:val="Body Text Char"/>
    <w:basedOn w:val="DefaultParagraphFont"/>
    <w:link w:val="BodyText"/>
    <w:uiPriority w:val="99"/>
    <w:semiHidden/>
    <w:rsid w:val="000F1032"/>
  </w:style>
  <w:style w:type="paragraph" w:styleId="BalloonText">
    <w:name w:val="Balloon Text"/>
    <w:basedOn w:val="Normal"/>
    <w:link w:val="BalloonTextChar"/>
    <w:uiPriority w:val="99"/>
    <w:semiHidden/>
    <w:unhideWhenUsed/>
    <w:rsid w:val="000F10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0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mboldt-foundation.de/web/anneliese-maier-award.html"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u.qs.com/university-rankings/subject-tables/" TargetMode="External"/><Relationship Id="rId4" Type="http://schemas.openxmlformats.org/officeDocument/2006/relationships/settings" Target="settings.xml"/><Relationship Id="rId9" Type="http://schemas.openxmlformats.org/officeDocument/2006/relationships/hyperlink" Target="http://www.topuniversities.com./university-rankings/university-subject-rankings/2013/law-and-legal-studies"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3</Pages>
  <Words>994</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Deakin University</Company>
  <LinksUpToDate>false</LinksUpToDate>
  <CharactersWithSpaces>6647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4</cp:revision>
  <dcterms:created xsi:type="dcterms:W3CDTF">2013-12-20T02:53:00Z</dcterms:created>
  <dcterms:modified xsi:type="dcterms:W3CDTF">2013-12-23T09:51:00Z</dcterms:modified>
</cp:coreProperties>
</file>