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324" w:rsidRPr="00333171" w:rsidRDefault="006730D4">
      <w:pPr>
        <w:rPr>
          <w:b/>
          <w:sz w:val="28"/>
          <w:szCs w:val="28"/>
          <w:u w:val="single"/>
        </w:rPr>
      </w:pPr>
      <w:r w:rsidRPr="00333171">
        <w:rPr>
          <w:b/>
          <w:sz w:val="28"/>
          <w:szCs w:val="28"/>
          <w:u w:val="single"/>
        </w:rPr>
        <w:t>Fast Track Nanomaterial Risk assessment &amp; Approval (Low risk materials)</w:t>
      </w:r>
    </w:p>
    <w:p w:rsidR="00333171" w:rsidRDefault="00333171" w:rsidP="006730D4">
      <w:pPr>
        <w:rPr>
          <w:rFonts w:ascii="Times New Roman" w:hAnsi="Times New Roman" w:cs="Times New Roman"/>
          <w:sz w:val="24"/>
          <w:szCs w:val="24"/>
        </w:rPr>
      </w:pPr>
      <w:r w:rsidRPr="00D47EFE">
        <w:rPr>
          <w:rFonts w:ascii="Times New Roman" w:hAnsi="Times New Roman" w:cs="Times New Roman"/>
          <w:sz w:val="24"/>
          <w:szCs w:val="24"/>
        </w:rPr>
        <w:t xml:space="preserve">Complete questionnaire below. If all answers are </w:t>
      </w:r>
      <w:r w:rsidRPr="00D47EFE">
        <w:rPr>
          <w:rFonts w:ascii="Times New Roman" w:hAnsi="Times New Roman" w:cs="Times New Roman"/>
          <w:b/>
          <w:sz w:val="24"/>
          <w:szCs w:val="24"/>
        </w:rPr>
        <w:t>“YES”</w:t>
      </w:r>
      <w:r w:rsidRPr="00D47EFE">
        <w:rPr>
          <w:rFonts w:ascii="Times New Roman" w:hAnsi="Times New Roman" w:cs="Times New Roman"/>
          <w:sz w:val="24"/>
          <w:szCs w:val="24"/>
        </w:rPr>
        <w:t xml:space="preserve"> the material and usage process is deemed low</w:t>
      </w:r>
      <w:r w:rsidR="00D47EFE" w:rsidRPr="00D47EFE">
        <w:rPr>
          <w:rFonts w:ascii="Times New Roman" w:hAnsi="Times New Roman" w:cs="Times New Roman"/>
          <w:sz w:val="24"/>
          <w:szCs w:val="24"/>
        </w:rPr>
        <w:t xml:space="preserve"> risk and</w:t>
      </w:r>
      <w:r w:rsidRPr="00D47EFE">
        <w:rPr>
          <w:rFonts w:ascii="Times New Roman" w:hAnsi="Times New Roman" w:cs="Times New Roman"/>
          <w:sz w:val="24"/>
          <w:szCs w:val="24"/>
        </w:rPr>
        <w:t xml:space="preserve"> full nanomaterial </w:t>
      </w:r>
      <w:r w:rsidR="00D47EFE" w:rsidRPr="00D47EFE">
        <w:rPr>
          <w:rFonts w:ascii="Times New Roman" w:hAnsi="Times New Roman" w:cs="Times New Roman"/>
          <w:sz w:val="24"/>
          <w:szCs w:val="24"/>
        </w:rPr>
        <w:t xml:space="preserve">and process </w:t>
      </w:r>
      <w:r w:rsidRPr="00D47EFE">
        <w:rPr>
          <w:rFonts w:ascii="Times New Roman" w:hAnsi="Times New Roman" w:cs="Times New Roman"/>
          <w:sz w:val="24"/>
          <w:szCs w:val="24"/>
        </w:rPr>
        <w:t>risk assessment</w:t>
      </w:r>
      <w:r w:rsidR="00D47EFE" w:rsidRPr="00D47EFE">
        <w:rPr>
          <w:rFonts w:ascii="Times New Roman" w:hAnsi="Times New Roman" w:cs="Times New Roman"/>
          <w:sz w:val="24"/>
          <w:szCs w:val="24"/>
        </w:rPr>
        <w:t xml:space="preserve">s and </w:t>
      </w:r>
      <w:r w:rsidRPr="00D47EFE">
        <w:rPr>
          <w:rFonts w:ascii="Times New Roman" w:hAnsi="Times New Roman" w:cs="Times New Roman"/>
          <w:sz w:val="24"/>
          <w:szCs w:val="24"/>
        </w:rPr>
        <w:t xml:space="preserve">not required. </w:t>
      </w:r>
      <w:r w:rsidR="00C23EA8">
        <w:rPr>
          <w:rFonts w:ascii="Times New Roman" w:hAnsi="Times New Roman" w:cs="Times New Roman"/>
          <w:sz w:val="24"/>
          <w:szCs w:val="24"/>
        </w:rPr>
        <w:t xml:space="preserve"> Additional notes may be entered on rear page of form.</w:t>
      </w:r>
    </w:p>
    <w:p w:rsidR="00D47EFE" w:rsidRPr="00D47EFE" w:rsidRDefault="00D47EFE" w:rsidP="006730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Submit </w:t>
      </w:r>
      <w:r w:rsidR="00C23EA8">
        <w:rPr>
          <w:rFonts w:ascii="Times New Roman" w:hAnsi="Times New Roman" w:cs="Times New Roman"/>
          <w:sz w:val="24"/>
          <w:szCs w:val="24"/>
        </w:rPr>
        <w:t xml:space="preserve">this assessment </w:t>
      </w:r>
      <w:r>
        <w:rPr>
          <w:rFonts w:ascii="Times New Roman" w:hAnsi="Times New Roman" w:cs="Times New Roman"/>
          <w:sz w:val="24"/>
          <w:szCs w:val="24"/>
        </w:rPr>
        <w:t xml:space="preserve">to Workplace Laboratory Manager </w:t>
      </w:r>
      <w:r w:rsidR="00C23EA8">
        <w:rPr>
          <w:rFonts w:ascii="Times New Roman" w:hAnsi="Times New Roman" w:cs="Times New Roman"/>
          <w:sz w:val="24"/>
          <w:szCs w:val="24"/>
        </w:rPr>
        <w:t xml:space="preserve">with the relevant Safe Work Instruction </w:t>
      </w:r>
      <w:r>
        <w:rPr>
          <w:rFonts w:ascii="Times New Roman" w:hAnsi="Times New Roman" w:cs="Times New Roman"/>
          <w:sz w:val="24"/>
          <w:szCs w:val="24"/>
        </w:rPr>
        <w:t>for approval.</w:t>
      </w:r>
    </w:p>
    <w:p w:rsidR="00333171" w:rsidRPr="00D47EFE" w:rsidRDefault="00333171" w:rsidP="006730D4">
      <w:pPr>
        <w:rPr>
          <w:rFonts w:ascii="Times New Roman" w:hAnsi="Times New Roman" w:cs="Times New Roman"/>
          <w:sz w:val="24"/>
          <w:szCs w:val="24"/>
        </w:rPr>
      </w:pPr>
      <w:r w:rsidRPr="00D47EFE">
        <w:rPr>
          <w:rFonts w:ascii="Times New Roman" w:hAnsi="Times New Roman" w:cs="Times New Roman"/>
          <w:sz w:val="24"/>
          <w:szCs w:val="24"/>
        </w:rPr>
        <w:t xml:space="preserve">Approval for </w:t>
      </w:r>
      <w:r w:rsidR="00D47EFE" w:rsidRPr="00D47EFE">
        <w:rPr>
          <w:rFonts w:ascii="Times New Roman" w:hAnsi="Times New Roman" w:cs="Times New Roman"/>
          <w:sz w:val="24"/>
          <w:szCs w:val="24"/>
        </w:rPr>
        <w:t xml:space="preserve">Nanomaterial introduction and </w:t>
      </w:r>
      <w:r w:rsidRPr="00D47EFE">
        <w:rPr>
          <w:rFonts w:ascii="Times New Roman" w:hAnsi="Times New Roman" w:cs="Times New Roman"/>
          <w:sz w:val="24"/>
          <w:szCs w:val="24"/>
        </w:rPr>
        <w:t xml:space="preserve">use does not need to be authorised by the Deakin Nanomaterial Management Committee but can be approved by the usage area’s Laboratory </w:t>
      </w:r>
      <w:r w:rsidR="00D47EFE" w:rsidRPr="00D47EFE">
        <w:rPr>
          <w:rFonts w:ascii="Times New Roman" w:hAnsi="Times New Roman" w:cs="Times New Roman"/>
          <w:sz w:val="24"/>
          <w:szCs w:val="24"/>
        </w:rPr>
        <w:t>Manager, who shall enter the material and use into the Deakin Nanomaterial Database.</w:t>
      </w:r>
    </w:p>
    <w:p w:rsidR="006730D4" w:rsidRPr="00C23EA8" w:rsidRDefault="00333171" w:rsidP="00C23EA8">
      <w:pPr>
        <w:rPr>
          <w:rFonts w:ascii="Times New Roman" w:hAnsi="Times New Roman" w:cs="Times New Roman"/>
          <w:sz w:val="24"/>
          <w:szCs w:val="24"/>
        </w:rPr>
      </w:pPr>
      <w:r w:rsidRPr="00D47EFE">
        <w:rPr>
          <w:rFonts w:ascii="Times New Roman" w:hAnsi="Times New Roman" w:cs="Times New Roman"/>
          <w:sz w:val="24"/>
          <w:szCs w:val="24"/>
        </w:rPr>
        <w:t xml:space="preserve">The “low risk” categorisation outcome only fast tracks the approval process, all other Nanomaterial use and management guidelines must be </w:t>
      </w:r>
      <w:r w:rsidR="00D47EFE" w:rsidRPr="00D47EFE">
        <w:rPr>
          <w:rFonts w:ascii="Times New Roman" w:hAnsi="Times New Roman" w:cs="Times New Roman"/>
          <w:sz w:val="24"/>
          <w:szCs w:val="24"/>
        </w:rPr>
        <w:t>followed</w:t>
      </w:r>
      <w:r w:rsidRPr="00D47EFE">
        <w:rPr>
          <w:rFonts w:ascii="Times New Roman" w:hAnsi="Times New Roman" w:cs="Times New Roman"/>
          <w:sz w:val="24"/>
          <w:szCs w:val="24"/>
        </w:rPr>
        <w:t xml:space="preserve"> at all times.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52"/>
        <w:gridCol w:w="567"/>
        <w:gridCol w:w="6804"/>
        <w:gridCol w:w="862"/>
      </w:tblGrid>
      <w:tr w:rsidR="00A26D5C" w:rsidTr="00A26D5C">
        <w:trPr>
          <w:trHeight w:val="213"/>
        </w:trPr>
        <w:tc>
          <w:tcPr>
            <w:tcW w:w="2252" w:type="dxa"/>
            <w:tcBorders>
              <w:top w:val="nil"/>
              <w:left w:val="nil"/>
              <w:right w:val="nil"/>
            </w:tcBorders>
          </w:tcPr>
          <w:p w:rsidR="00A26D5C" w:rsidRDefault="00A26D5C" w:rsidP="00D072FA">
            <w:pPr>
              <w:pStyle w:val="ListParagraph"/>
              <w:ind w:left="0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26D5C" w:rsidRPr="00D47EFE" w:rsidRDefault="00A26D5C" w:rsidP="00D072F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left w:val="nil"/>
            </w:tcBorders>
          </w:tcPr>
          <w:p w:rsidR="00A26D5C" w:rsidRPr="00D47EFE" w:rsidRDefault="00A26D5C" w:rsidP="00D072FA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851" w:type="dxa"/>
          </w:tcPr>
          <w:p w:rsidR="00A26D5C" w:rsidRDefault="00A26D5C" w:rsidP="00D072FA">
            <w:pPr>
              <w:pStyle w:val="ListParagraph"/>
              <w:ind w:left="0"/>
            </w:pPr>
            <w:r>
              <w:t>Yes/No</w:t>
            </w:r>
          </w:p>
        </w:tc>
      </w:tr>
      <w:tr w:rsidR="00D47EFE" w:rsidTr="00A26D5C">
        <w:trPr>
          <w:trHeight w:hRule="exact" w:val="425"/>
        </w:trPr>
        <w:tc>
          <w:tcPr>
            <w:tcW w:w="2252" w:type="dxa"/>
            <w:vMerge w:val="restart"/>
            <w:shd w:val="clear" w:color="auto" w:fill="F2F2F2" w:themeFill="background1" w:themeFillShade="F2"/>
            <w:vAlign w:val="center"/>
          </w:tcPr>
          <w:p w:rsidR="00D47EFE" w:rsidRPr="00D47EFE" w:rsidRDefault="00D47EFE" w:rsidP="00D47EFE">
            <w:pPr>
              <w:pStyle w:val="ListParagraph"/>
              <w:ind w:left="0"/>
              <w:jc w:val="center"/>
              <w:rPr>
                <w:b/>
              </w:rPr>
            </w:pPr>
            <w:r w:rsidRPr="00D47EFE">
              <w:rPr>
                <w:b/>
              </w:rPr>
              <w:t>PHYSICAL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47EFE" w:rsidRPr="00D47EFE" w:rsidRDefault="00D47EFE" w:rsidP="00D47EFE">
            <w:pPr>
              <w:pStyle w:val="ListParagraph"/>
              <w:ind w:left="0"/>
              <w:jc w:val="center"/>
              <w:rPr>
                <w:b/>
              </w:rPr>
            </w:pPr>
            <w:r w:rsidRPr="00D47EFE">
              <w:rPr>
                <w:b/>
              </w:rPr>
              <w:t>1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:rsidR="00D47EFE" w:rsidRPr="00D47EFE" w:rsidRDefault="00D47EFE" w:rsidP="006730D4">
            <w:pPr>
              <w:pStyle w:val="ListParagraph"/>
              <w:ind w:left="0"/>
              <w:rPr>
                <w:b/>
              </w:rPr>
            </w:pPr>
            <w:r w:rsidRPr="00D47EFE">
              <w:rPr>
                <w:b/>
              </w:rPr>
              <w:t>The nanomaterial is in solution</w:t>
            </w:r>
            <w:r w:rsidR="00A26D5C">
              <w:rPr>
                <w:b/>
              </w:rPr>
              <w:t>.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D47EFE" w:rsidRDefault="00D47EFE" w:rsidP="006730D4">
            <w:pPr>
              <w:pStyle w:val="ListParagraph"/>
              <w:ind w:left="0"/>
            </w:pPr>
          </w:p>
        </w:tc>
      </w:tr>
      <w:tr w:rsidR="00D47EFE" w:rsidTr="00A26D5C">
        <w:trPr>
          <w:trHeight w:hRule="exact" w:val="425"/>
        </w:trPr>
        <w:tc>
          <w:tcPr>
            <w:tcW w:w="2252" w:type="dxa"/>
            <w:vMerge/>
            <w:shd w:val="clear" w:color="auto" w:fill="F2F2F2" w:themeFill="background1" w:themeFillShade="F2"/>
            <w:vAlign w:val="center"/>
          </w:tcPr>
          <w:p w:rsidR="00D47EFE" w:rsidRPr="00D47EFE" w:rsidRDefault="00D47EFE" w:rsidP="00D47EF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47EFE" w:rsidRPr="00D47EFE" w:rsidRDefault="00D47EFE" w:rsidP="00D47EFE">
            <w:pPr>
              <w:pStyle w:val="ListParagraph"/>
              <w:ind w:left="0"/>
              <w:jc w:val="center"/>
              <w:rPr>
                <w:b/>
              </w:rPr>
            </w:pPr>
            <w:r w:rsidRPr="00D47EFE">
              <w:rPr>
                <w:b/>
              </w:rPr>
              <w:t>2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:rsidR="00D47EFE" w:rsidRPr="00D47EFE" w:rsidRDefault="0091648A" w:rsidP="006730D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Material</w:t>
            </w:r>
            <w:r w:rsidR="00D47EFE" w:rsidRPr="00D47EFE">
              <w:rPr>
                <w:b/>
              </w:rPr>
              <w:t xml:space="preserve"> cannot become an aerosol during use</w:t>
            </w:r>
            <w:r w:rsidR="00A26D5C">
              <w:rPr>
                <w:b/>
              </w:rPr>
              <w:t>.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D47EFE" w:rsidRDefault="00D47EFE" w:rsidP="006730D4">
            <w:pPr>
              <w:pStyle w:val="ListParagraph"/>
              <w:ind w:left="0"/>
            </w:pPr>
          </w:p>
        </w:tc>
      </w:tr>
      <w:tr w:rsidR="00D47EFE" w:rsidTr="00A26D5C">
        <w:trPr>
          <w:trHeight w:hRule="exact" w:val="425"/>
        </w:trPr>
        <w:tc>
          <w:tcPr>
            <w:tcW w:w="2252" w:type="dxa"/>
            <w:vMerge/>
            <w:shd w:val="clear" w:color="auto" w:fill="F2F2F2" w:themeFill="background1" w:themeFillShade="F2"/>
            <w:vAlign w:val="center"/>
          </w:tcPr>
          <w:p w:rsidR="00D47EFE" w:rsidRPr="00D47EFE" w:rsidRDefault="00D47EFE" w:rsidP="00D47EF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47EFE" w:rsidRPr="00D47EFE" w:rsidRDefault="00D47EFE" w:rsidP="00D47EFE">
            <w:pPr>
              <w:pStyle w:val="ListParagraph"/>
              <w:ind w:left="0"/>
              <w:jc w:val="center"/>
              <w:rPr>
                <w:b/>
              </w:rPr>
            </w:pPr>
            <w:r w:rsidRPr="00D47EFE">
              <w:rPr>
                <w:b/>
              </w:rPr>
              <w:t>3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:rsidR="00D47EFE" w:rsidRPr="00D47EFE" w:rsidRDefault="00D47EFE" w:rsidP="00792E13">
            <w:pPr>
              <w:pStyle w:val="ListParagraph"/>
              <w:ind w:left="0"/>
              <w:rPr>
                <w:b/>
              </w:rPr>
            </w:pPr>
            <w:r w:rsidRPr="00D47EFE">
              <w:rPr>
                <w:b/>
              </w:rPr>
              <w:t>Solution will not become dry creating a dry residue</w:t>
            </w:r>
            <w:r w:rsidR="00A26D5C">
              <w:rPr>
                <w:b/>
              </w:rPr>
              <w:t>.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D47EFE" w:rsidRDefault="00D47EFE" w:rsidP="006730D4">
            <w:pPr>
              <w:pStyle w:val="ListParagraph"/>
              <w:ind w:left="0"/>
            </w:pPr>
          </w:p>
        </w:tc>
        <w:bookmarkStart w:id="0" w:name="_GoBack"/>
        <w:bookmarkEnd w:id="0"/>
      </w:tr>
      <w:tr w:rsidR="00D47EFE" w:rsidTr="00A26D5C">
        <w:trPr>
          <w:trHeight w:hRule="exact" w:val="425"/>
        </w:trPr>
        <w:tc>
          <w:tcPr>
            <w:tcW w:w="2252" w:type="dxa"/>
            <w:vMerge w:val="restart"/>
            <w:vAlign w:val="center"/>
          </w:tcPr>
          <w:p w:rsidR="00D47EFE" w:rsidRPr="00D47EFE" w:rsidRDefault="00D47EFE" w:rsidP="00D47EFE">
            <w:pPr>
              <w:pStyle w:val="ListParagraph"/>
              <w:ind w:left="0"/>
              <w:jc w:val="center"/>
              <w:rPr>
                <w:b/>
              </w:rPr>
            </w:pPr>
            <w:r w:rsidRPr="00D47EFE">
              <w:rPr>
                <w:b/>
              </w:rPr>
              <w:t>HANDLING &amp; EXPOSURE</w:t>
            </w:r>
          </w:p>
        </w:tc>
        <w:tc>
          <w:tcPr>
            <w:tcW w:w="567" w:type="dxa"/>
            <w:vAlign w:val="center"/>
          </w:tcPr>
          <w:p w:rsidR="00D47EFE" w:rsidRPr="00D47EFE" w:rsidRDefault="00D47EFE" w:rsidP="00D47EFE">
            <w:pPr>
              <w:pStyle w:val="ListParagraph"/>
              <w:ind w:left="0"/>
              <w:jc w:val="center"/>
              <w:rPr>
                <w:b/>
              </w:rPr>
            </w:pPr>
            <w:r w:rsidRPr="00D47EFE">
              <w:rPr>
                <w:b/>
              </w:rPr>
              <w:t>4</w:t>
            </w:r>
          </w:p>
        </w:tc>
        <w:tc>
          <w:tcPr>
            <w:tcW w:w="6804" w:type="dxa"/>
            <w:vAlign w:val="center"/>
          </w:tcPr>
          <w:p w:rsidR="00D47EFE" w:rsidRPr="00D47EFE" w:rsidRDefault="00D47EFE" w:rsidP="00A26D5C">
            <w:pPr>
              <w:pStyle w:val="ListParagraph"/>
              <w:ind w:left="0"/>
              <w:rPr>
                <w:b/>
              </w:rPr>
            </w:pPr>
            <w:r w:rsidRPr="00D47EFE">
              <w:rPr>
                <w:b/>
              </w:rPr>
              <w:t>Solution will be enclosed in a vessel till point of use (e.g. phial, syringe)</w:t>
            </w:r>
            <w:r w:rsidR="00A26D5C">
              <w:rPr>
                <w:b/>
              </w:rPr>
              <w:t>.</w:t>
            </w:r>
          </w:p>
        </w:tc>
        <w:tc>
          <w:tcPr>
            <w:tcW w:w="851" w:type="dxa"/>
          </w:tcPr>
          <w:p w:rsidR="00D47EFE" w:rsidRDefault="00D47EFE" w:rsidP="006730D4">
            <w:pPr>
              <w:pStyle w:val="ListParagraph"/>
              <w:ind w:left="0"/>
            </w:pPr>
          </w:p>
        </w:tc>
      </w:tr>
      <w:tr w:rsidR="00D47EFE" w:rsidTr="00A26D5C">
        <w:trPr>
          <w:trHeight w:hRule="exact" w:val="425"/>
        </w:trPr>
        <w:tc>
          <w:tcPr>
            <w:tcW w:w="2252" w:type="dxa"/>
            <w:vMerge/>
            <w:vAlign w:val="center"/>
          </w:tcPr>
          <w:p w:rsidR="00D47EFE" w:rsidRPr="00D47EFE" w:rsidRDefault="00D47EFE" w:rsidP="00D47EFE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D47EFE" w:rsidRPr="00D47EFE" w:rsidRDefault="00D47EFE" w:rsidP="00D47EFE">
            <w:pPr>
              <w:pStyle w:val="ListParagraph"/>
              <w:ind w:left="0"/>
              <w:jc w:val="center"/>
              <w:rPr>
                <w:b/>
              </w:rPr>
            </w:pPr>
            <w:r w:rsidRPr="00D47EFE">
              <w:rPr>
                <w:b/>
              </w:rPr>
              <w:t>5</w:t>
            </w:r>
          </w:p>
        </w:tc>
        <w:tc>
          <w:tcPr>
            <w:tcW w:w="6804" w:type="dxa"/>
            <w:vAlign w:val="center"/>
          </w:tcPr>
          <w:p w:rsidR="00D47EFE" w:rsidRPr="00D47EFE" w:rsidRDefault="00D47EFE" w:rsidP="00A26D5C">
            <w:pPr>
              <w:pStyle w:val="ListParagraph"/>
              <w:ind w:left="0"/>
              <w:rPr>
                <w:b/>
              </w:rPr>
            </w:pPr>
            <w:r w:rsidRPr="00D47EFE">
              <w:rPr>
                <w:b/>
              </w:rPr>
              <w:t>The process does not allow personal contact with the nanomaterial</w:t>
            </w:r>
            <w:r w:rsidR="00A26D5C">
              <w:rPr>
                <w:b/>
              </w:rPr>
              <w:t>.</w:t>
            </w:r>
          </w:p>
        </w:tc>
        <w:tc>
          <w:tcPr>
            <w:tcW w:w="851" w:type="dxa"/>
          </w:tcPr>
          <w:p w:rsidR="00D47EFE" w:rsidRDefault="00D47EFE" w:rsidP="006730D4">
            <w:pPr>
              <w:pStyle w:val="ListParagraph"/>
              <w:ind w:left="0"/>
            </w:pPr>
          </w:p>
        </w:tc>
      </w:tr>
      <w:tr w:rsidR="00D47EFE" w:rsidTr="00A26D5C">
        <w:trPr>
          <w:trHeight w:hRule="exact" w:val="425"/>
        </w:trPr>
        <w:tc>
          <w:tcPr>
            <w:tcW w:w="2252" w:type="dxa"/>
            <w:shd w:val="clear" w:color="auto" w:fill="F2F2F2" w:themeFill="background1" w:themeFillShade="F2"/>
            <w:vAlign w:val="center"/>
          </w:tcPr>
          <w:p w:rsidR="00D47EFE" w:rsidRPr="00D47EFE" w:rsidRDefault="00D47EFE" w:rsidP="00D47EFE">
            <w:pPr>
              <w:pStyle w:val="ListParagraph"/>
              <w:ind w:left="0"/>
              <w:jc w:val="center"/>
              <w:rPr>
                <w:b/>
              </w:rPr>
            </w:pPr>
            <w:r w:rsidRPr="00D47EFE">
              <w:rPr>
                <w:b/>
              </w:rPr>
              <w:t>CONCENTRATION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47EFE" w:rsidRPr="00D47EFE" w:rsidRDefault="00D47EFE" w:rsidP="00D47EFE">
            <w:pPr>
              <w:pStyle w:val="ListParagraph"/>
              <w:ind w:left="0"/>
              <w:jc w:val="center"/>
              <w:rPr>
                <w:b/>
              </w:rPr>
            </w:pPr>
            <w:r w:rsidRPr="00D47EFE">
              <w:rPr>
                <w:b/>
              </w:rPr>
              <w:t>6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:rsidR="00D47EFE" w:rsidRPr="00D47EFE" w:rsidRDefault="00D47EFE" w:rsidP="00A26D5C">
            <w:pPr>
              <w:pStyle w:val="ListParagraph"/>
              <w:ind w:left="0"/>
              <w:rPr>
                <w:b/>
              </w:rPr>
            </w:pPr>
            <w:r w:rsidRPr="00D47EFE">
              <w:rPr>
                <w:b/>
              </w:rPr>
              <w:t xml:space="preserve">The concentration is </w:t>
            </w:r>
            <w:r w:rsidR="00A26D5C">
              <w:rPr>
                <w:b/>
              </w:rPr>
              <w:t>in the range very low to</w:t>
            </w:r>
            <w:r w:rsidRPr="00D47EFE">
              <w:rPr>
                <w:b/>
              </w:rPr>
              <w:t xml:space="preserve"> low</w:t>
            </w:r>
            <w:r w:rsidR="00A26D5C">
              <w:rPr>
                <w:b/>
              </w:rPr>
              <w:t>.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D47EFE" w:rsidRDefault="00D47EFE" w:rsidP="006730D4">
            <w:pPr>
              <w:pStyle w:val="ListParagraph"/>
              <w:ind w:left="0"/>
            </w:pPr>
          </w:p>
        </w:tc>
      </w:tr>
      <w:tr w:rsidR="00D47EFE" w:rsidTr="00A26D5C">
        <w:trPr>
          <w:trHeight w:hRule="exact" w:val="425"/>
        </w:trPr>
        <w:tc>
          <w:tcPr>
            <w:tcW w:w="2252" w:type="dxa"/>
            <w:vAlign w:val="center"/>
          </w:tcPr>
          <w:p w:rsidR="00D47EFE" w:rsidRPr="00D47EFE" w:rsidRDefault="00D47EFE" w:rsidP="00D47EFE">
            <w:pPr>
              <w:pStyle w:val="ListParagraph"/>
              <w:ind w:left="0"/>
              <w:jc w:val="center"/>
              <w:rPr>
                <w:b/>
              </w:rPr>
            </w:pPr>
            <w:r w:rsidRPr="00D47EFE">
              <w:rPr>
                <w:b/>
              </w:rPr>
              <w:t>SOLUTION TOXICITY</w:t>
            </w:r>
          </w:p>
        </w:tc>
        <w:tc>
          <w:tcPr>
            <w:tcW w:w="567" w:type="dxa"/>
            <w:vAlign w:val="center"/>
          </w:tcPr>
          <w:p w:rsidR="00D47EFE" w:rsidRPr="00D47EFE" w:rsidRDefault="00D47EFE" w:rsidP="00D47EFE">
            <w:pPr>
              <w:pStyle w:val="ListParagraph"/>
              <w:ind w:left="0"/>
              <w:jc w:val="center"/>
              <w:rPr>
                <w:b/>
              </w:rPr>
            </w:pPr>
            <w:r w:rsidRPr="00D47EFE">
              <w:rPr>
                <w:b/>
              </w:rPr>
              <w:t>7</w:t>
            </w:r>
          </w:p>
        </w:tc>
        <w:tc>
          <w:tcPr>
            <w:tcW w:w="6804" w:type="dxa"/>
            <w:vAlign w:val="center"/>
          </w:tcPr>
          <w:p w:rsidR="00D47EFE" w:rsidRPr="00D47EFE" w:rsidRDefault="00D47EFE" w:rsidP="00A26D5C">
            <w:pPr>
              <w:pStyle w:val="ListParagraph"/>
              <w:ind w:left="0"/>
              <w:rPr>
                <w:b/>
              </w:rPr>
            </w:pPr>
            <w:r w:rsidRPr="00D47EFE">
              <w:rPr>
                <w:b/>
              </w:rPr>
              <w:t xml:space="preserve">The solution toxicity is </w:t>
            </w:r>
            <w:r w:rsidR="00A26D5C">
              <w:rPr>
                <w:b/>
              </w:rPr>
              <w:t>in the range very low to low.</w:t>
            </w:r>
          </w:p>
        </w:tc>
        <w:tc>
          <w:tcPr>
            <w:tcW w:w="851" w:type="dxa"/>
          </w:tcPr>
          <w:p w:rsidR="00D47EFE" w:rsidRDefault="00D47EFE" w:rsidP="006730D4">
            <w:pPr>
              <w:pStyle w:val="ListParagraph"/>
              <w:ind w:left="0"/>
            </w:pPr>
          </w:p>
        </w:tc>
      </w:tr>
    </w:tbl>
    <w:p w:rsidR="006730D4" w:rsidRDefault="006730D4" w:rsidP="0091648A">
      <w:pPr>
        <w:pStyle w:val="ListParagraph"/>
        <w:spacing w:before="120" w:after="120" w:line="240" w:lineRule="auto"/>
      </w:pPr>
    </w:p>
    <w:tbl>
      <w:tblPr>
        <w:tblStyle w:val="TableGrid"/>
        <w:tblW w:w="14184" w:type="dxa"/>
        <w:tblLook w:val="04A0" w:firstRow="1" w:lastRow="0" w:firstColumn="1" w:lastColumn="0" w:noHBand="0" w:noVBand="1"/>
      </w:tblPr>
      <w:tblGrid>
        <w:gridCol w:w="2547"/>
        <w:gridCol w:w="4961"/>
        <w:gridCol w:w="3189"/>
        <w:gridCol w:w="3487"/>
      </w:tblGrid>
      <w:tr w:rsidR="00D47EFE" w:rsidTr="0091648A">
        <w:trPr>
          <w:trHeight w:hRule="exact" w:val="425"/>
        </w:trPr>
        <w:tc>
          <w:tcPr>
            <w:tcW w:w="2547" w:type="dxa"/>
            <w:vAlign w:val="center"/>
          </w:tcPr>
          <w:p w:rsidR="00D47EFE" w:rsidRDefault="00C23EA8">
            <w:r>
              <w:t>Nanomaterial name</w:t>
            </w:r>
          </w:p>
        </w:tc>
        <w:tc>
          <w:tcPr>
            <w:tcW w:w="4961" w:type="dxa"/>
            <w:vAlign w:val="center"/>
          </w:tcPr>
          <w:p w:rsidR="00C23EA8" w:rsidRDefault="00C23EA8"/>
        </w:tc>
        <w:tc>
          <w:tcPr>
            <w:tcW w:w="3189" w:type="dxa"/>
            <w:vAlign w:val="center"/>
          </w:tcPr>
          <w:p w:rsidR="00D47EFE" w:rsidRDefault="00C23EA8">
            <w:r>
              <w:t>Principal Researcher signature</w:t>
            </w:r>
          </w:p>
        </w:tc>
        <w:tc>
          <w:tcPr>
            <w:tcW w:w="3487" w:type="dxa"/>
            <w:vAlign w:val="center"/>
          </w:tcPr>
          <w:p w:rsidR="00D47EFE" w:rsidRDefault="00D47EFE"/>
        </w:tc>
      </w:tr>
      <w:tr w:rsidR="00D47EFE" w:rsidTr="000A08D3">
        <w:trPr>
          <w:trHeight w:hRule="exact" w:val="425"/>
        </w:trPr>
        <w:tc>
          <w:tcPr>
            <w:tcW w:w="2547" w:type="dxa"/>
            <w:vAlign w:val="center"/>
          </w:tcPr>
          <w:p w:rsidR="00D47EFE" w:rsidRDefault="00C23EA8">
            <w:r>
              <w:t>Highest concentration</w:t>
            </w:r>
          </w:p>
        </w:tc>
        <w:tc>
          <w:tcPr>
            <w:tcW w:w="4961" w:type="dxa"/>
            <w:vAlign w:val="center"/>
          </w:tcPr>
          <w:p w:rsidR="00D47EFE" w:rsidRDefault="00D47EFE"/>
        </w:tc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:rsidR="00D47EFE" w:rsidRDefault="00C23EA8">
            <w:r>
              <w:t>Laboratory Manager signature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vAlign w:val="center"/>
          </w:tcPr>
          <w:p w:rsidR="00D47EFE" w:rsidRDefault="00D47EFE"/>
        </w:tc>
      </w:tr>
      <w:tr w:rsidR="00D47EFE" w:rsidTr="000A08D3">
        <w:trPr>
          <w:trHeight w:hRule="exact" w:val="425"/>
        </w:trPr>
        <w:tc>
          <w:tcPr>
            <w:tcW w:w="2547" w:type="dxa"/>
            <w:vAlign w:val="center"/>
          </w:tcPr>
          <w:p w:rsidR="00D47EFE" w:rsidRDefault="00C23EA8">
            <w:r>
              <w:t>Principal Researcher</w:t>
            </w:r>
          </w:p>
        </w:tc>
        <w:tc>
          <w:tcPr>
            <w:tcW w:w="4961" w:type="dxa"/>
            <w:vAlign w:val="center"/>
          </w:tcPr>
          <w:p w:rsidR="00D47EFE" w:rsidRDefault="00D47EFE"/>
        </w:tc>
        <w:tc>
          <w:tcPr>
            <w:tcW w:w="318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D47EFE" w:rsidRDefault="00D47EFE"/>
        </w:tc>
        <w:tc>
          <w:tcPr>
            <w:tcW w:w="3487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EFE" w:rsidRDefault="00D47EFE"/>
        </w:tc>
      </w:tr>
      <w:tr w:rsidR="00D47EFE" w:rsidTr="000A08D3">
        <w:trPr>
          <w:trHeight w:hRule="exact" w:val="425"/>
        </w:trPr>
        <w:tc>
          <w:tcPr>
            <w:tcW w:w="2547" w:type="dxa"/>
            <w:vAlign w:val="center"/>
          </w:tcPr>
          <w:p w:rsidR="00D47EFE" w:rsidRDefault="00C23EA8">
            <w:r>
              <w:t>Material use locations</w:t>
            </w:r>
          </w:p>
        </w:tc>
        <w:tc>
          <w:tcPr>
            <w:tcW w:w="4961" w:type="dxa"/>
            <w:vAlign w:val="center"/>
          </w:tcPr>
          <w:p w:rsidR="00D47EFE" w:rsidRDefault="00D47EFE"/>
        </w:tc>
        <w:tc>
          <w:tcPr>
            <w:tcW w:w="3189" w:type="dxa"/>
            <w:tcBorders>
              <w:bottom w:val="single" w:sz="4" w:space="0" w:color="auto"/>
            </w:tcBorders>
            <w:vAlign w:val="center"/>
          </w:tcPr>
          <w:p w:rsidR="00D47EFE" w:rsidRDefault="000A08D3">
            <w:r>
              <w:tab/>
            </w:r>
            <w:r>
              <w:tab/>
            </w:r>
            <w:r>
              <w:tab/>
              <w:t xml:space="preserve">   </w:t>
            </w:r>
            <w:r w:rsidR="00C23EA8">
              <w:t>Date</w:t>
            </w:r>
          </w:p>
        </w:tc>
        <w:tc>
          <w:tcPr>
            <w:tcW w:w="34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7EFE" w:rsidRDefault="00D47EFE"/>
        </w:tc>
      </w:tr>
      <w:tr w:rsidR="00D47EFE" w:rsidTr="000A08D3">
        <w:trPr>
          <w:trHeight w:hRule="exact" w:val="425"/>
        </w:trPr>
        <w:tc>
          <w:tcPr>
            <w:tcW w:w="2547" w:type="dxa"/>
            <w:vAlign w:val="center"/>
          </w:tcPr>
          <w:p w:rsidR="00D47EFE" w:rsidRDefault="00C23EA8">
            <w:r>
              <w:t>Material storage location</w:t>
            </w:r>
          </w:p>
        </w:tc>
        <w:tc>
          <w:tcPr>
            <w:tcW w:w="4961" w:type="dxa"/>
            <w:vAlign w:val="center"/>
          </w:tcPr>
          <w:p w:rsidR="00D47EFE" w:rsidRDefault="00D47EFE"/>
        </w:tc>
        <w:tc>
          <w:tcPr>
            <w:tcW w:w="318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D47EFE" w:rsidRDefault="00D47EFE"/>
        </w:tc>
        <w:tc>
          <w:tcPr>
            <w:tcW w:w="348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D47EFE" w:rsidRDefault="00D47EFE"/>
        </w:tc>
      </w:tr>
    </w:tbl>
    <w:p w:rsidR="00D47EFE" w:rsidRDefault="00D47EFE" w:rsidP="0091648A"/>
    <w:sectPr w:rsidR="00D47EFE" w:rsidSect="00A26D5C">
      <w:headerReference w:type="default" r:id="rId7"/>
      <w:footerReference w:type="default" r:id="rId8"/>
      <w:pgSz w:w="16838" w:h="11906" w:orient="landscape"/>
      <w:pgMar w:top="1134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EA8" w:rsidRDefault="00C23EA8" w:rsidP="00C23EA8">
      <w:pPr>
        <w:spacing w:after="0" w:line="240" w:lineRule="auto"/>
      </w:pPr>
      <w:r>
        <w:separator/>
      </w:r>
    </w:p>
  </w:endnote>
  <w:endnote w:type="continuationSeparator" w:id="0">
    <w:p w:rsidR="00C23EA8" w:rsidRDefault="00C23EA8" w:rsidP="00C2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BE7" w:rsidRDefault="00496BE7">
    <w:pPr>
      <w:pStyle w:val="Footer"/>
    </w:pPr>
    <w:r>
      <w:t>Version 1.0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8/6/17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EA8" w:rsidRDefault="00C23EA8" w:rsidP="00C23EA8">
      <w:pPr>
        <w:spacing w:after="0" w:line="240" w:lineRule="auto"/>
      </w:pPr>
      <w:r>
        <w:separator/>
      </w:r>
    </w:p>
  </w:footnote>
  <w:footnote w:type="continuationSeparator" w:id="0">
    <w:p w:rsidR="00C23EA8" w:rsidRDefault="00C23EA8" w:rsidP="00C23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EA8" w:rsidRDefault="00C23EA8">
    <w:pPr>
      <w:pStyle w:val="Header"/>
    </w:pPr>
    <w:r>
      <w:t>TRIAL FAST TRACK APPROVAL PROCESS _ Low risk nanomaterials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0BD4"/>
    <w:multiLevelType w:val="hybridMultilevel"/>
    <w:tmpl w:val="AA2266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56782"/>
    <w:multiLevelType w:val="hybridMultilevel"/>
    <w:tmpl w:val="587A93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0D4"/>
    <w:rsid w:val="000A08D3"/>
    <w:rsid w:val="002240DD"/>
    <w:rsid w:val="00333171"/>
    <w:rsid w:val="003D4548"/>
    <w:rsid w:val="00496BE7"/>
    <w:rsid w:val="005840B7"/>
    <w:rsid w:val="006730D4"/>
    <w:rsid w:val="00792E13"/>
    <w:rsid w:val="0091648A"/>
    <w:rsid w:val="00A26D5C"/>
    <w:rsid w:val="00AB2706"/>
    <w:rsid w:val="00C23EA8"/>
    <w:rsid w:val="00D4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8CCD2-649B-4923-A027-5C16E88D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0D4"/>
    <w:pPr>
      <w:ind w:left="720"/>
      <w:contextualSpacing/>
    </w:pPr>
  </w:style>
  <w:style w:type="table" w:styleId="TableGrid">
    <w:name w:val="Table Grid"/>
    <w:basedOn w:val="TableNormal"/>
    <w:uiPriority w:val="39"/>
    <w:rsid w:val="00673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EA8"/>
  </w:style>
  <w:style w:type="paragraph" w:styleId="Footer">
    <w:name w:val="footer"/>
    <w:basedOn w:val="Normal"/>
    <w:link w:val="FooterChar"/>
    <w:uiPriority w:val="99"/>
    <w:unhideWhenUsed/>
    <w:rsid w:val="00C23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Kennedy</dc:creator>
  <cp:keywords/>
  <dc:description/>
  <cp:lastModifiedBy>Michael Holmes</cp:lastModifiedBy>
  <cp:revision>5</cp:revision>
  <dcterms:created xsi:type="dcterms:W3CDTF">2017-06-08T00:55:00Z</dcterms:created>
  <dcterms:modified xsi:type="dcterms:W3CDTF">2017-06-08T03:12:00Z</dcterms:modified>
</cp:coreProperties>
</file>