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D737" w14:textId="77777777" w:rsidR="00383B7F" w:rsidRDefault="00383B7F" w:rsidP="00691648">
      <w:pPr>
        <w:jc w:val="center"/>
        <w:rPr>
          <w:b/>
        </w:rPr>
      </w:pPr>
      <w:bookmarkStart w:id="0" w:name="_GoBack"/>
      <w:bookmarkEnd w:id="0"/>
    </w:p>
    <w:p w14:paraId="62983F8E" w14:textId="6B0CE349" w:rsidR="00383B7F" w:rsidRDefault="00383B7F" w:rsidP="00383B7F">
      <w:pPr>
        <w:jc w:val="center"/>
        <w:rPr>
          <w:b/>
        </w:rPr>
      </w:pPr>
      <w:r>
        <w:rPr>
          <w:b/>
        </w:rPr>
        <w:t>Deakin Law School Research Expectations Model 2016-2018</w:t>
      </w:r>
    </w:p>
    <w:p w14:paraId="05CB1DFB" w14:textId="77777777" w:rsidR="00383B7F" w:rsidRDefault="00383B7F" w:rsidP="00383B7F"/>
    <w:p w14:paraId="5C49CF2B" w14:textId="082004A7" w:rsidR="00383B7F" w:rsidRDefault="00383B7F" w:rsidP="00383B7F">
      <w:pPr>
        <w:tabs>
          <w:tab w:val="left" w:pos="12179"/>
        </w:tabs>
        <w:rPr>
          <w:u w:val="single"/>
        </w:rPr>
      </w:pPr>
      <w:r w:rsidRPr="00691648">
        <w:rPr>
          <w:u w:val="single"/>
        </w:rPr>
        <w:t>Annual averages, over a three year rolling period</w:t>
      </w:r>
      <w:r w:rsidR="003B2491">
        <w:rPr>
          <w:u w:val="single"/>
        </w:rPr>
        <w:t>:</w:t>
      </w:r>
      <w:r w:rsidR="006D08C0">
        <w:rPr>
          <w:rStyle w:val="FootnoteReference"/>
          <w:u w:val="single"/>
        </w:rPr>
        <w:footnoteReference w:id="1"/>
      </w:r>
      <w:r>
        <w:rPr>
          <w:u w:val="single"/>
        </w:rPr>
        <w:t xml:space="preserve"> </w:t>
      </w:r>
      <w:r w:rsidR="006D08C0">
        <w:rPr>
          <w:u w:val="single"/>
        </w:rPr>
        <w:t xml:space="preserve"> </w:t>
      </w:r>
    </w:p>
    <w:p w14:paraId="5B419ED8" w14:textId="77777777" w:rsidR="00225D4E" w:rsidRDefault="00225D4E" w:rsidP="00383B7F">
      <w:pPr>
        <w:tabs>
          <w:tab w:val="left" w:pos="12179"/>
        </w:tabs>
        <w:rPr>
          <w:u w:val="single"/>
        </w:rPr>
      </w:pPr>
    </w:p>
    <w:tbl>
      <w:tblPr>
        <w:tblW w:w="0" w:type="auto"/>
        <w:tblCellMar>
          <w:left w:w="0" w:type="dxa"/>
          <w:right w:w="0" w:type="dxa"/>
        </w:tblCellMar>
        <w:tblLook w:val="04A0" w:firstRow="1" w:lastRow="0" w:firstColumn="1" w:lastColumn="0" w:noHBand="0" w:noVBand="1"/>
      </w:tblPr>
      <w:tblGrid>
        <w:gridCol w:w="843"/>
        <w:gridCol w:w="850"/>
        <w:gridCol w:w="851"/>
        <w:gridCol w:w="850"/>
      </w:tblGrid>
      <w:tr w:rsidR="00225D4E" w:rsidRPr="00225D4E" w14:paraId="0ED9528B" w14:textId="77777777" w:rsidTr="00225D4E">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240A56"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D6E83"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20%</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59FBC"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40%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DCAC8"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60%</w:t>
            </w:r>
          </w:p>
        </w:tc>
      </w:tr>
      <w:tr w:rsidR="00225D4E" w:rsidRPr="00225D4E" w14:paraId="747FA00F" w14:textId="77777777" w:rsidTr="00225D4E">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069F3"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C2D65BF"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4A51B64"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D189E59"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4.5</w:t>
            </w:r>
          </w:p>
        </w:tc>
      </w:tr>
      <w:tr w:rsidR="00225D4E" w:rsidRPr="00225D4E" w14:paraId="02FD6BCC" w14:textId="77777777" w:rsidTr="00225D4E">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C5695"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3028B23"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2.25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3A0A4F7"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4.5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4E57D1C"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6.75</w:t>
            </w:r>
          </w:p>
        </w:tc>
      </w:tr>
      <w:tr w:rsidR="00225D4E" w:rsidRPr="00225D4E" w14:paraId="044853BA" w14:textId="77777777" w:rsidTr="00225D4E">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D35AB"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EA0C2AE"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8596AB8"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960090F"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9</w:t>
            </w:r>
          </w:p>
        </w:tc>
      </w:tr>
      <w:tr w:rsidR="00225D4E" w:rsidRPr="00225D4E" w14:paraId="7992BDB3" w14:textId="77777777" w:rsidTr="00225D4E">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0C0CA"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D</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EB0E465"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3.75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336B674"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5027015"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11.25</w:t>
            </w:r>
          </w:p>
        </w:tc>
      </w:tr>
      <w:tr w:rsidR="00225D4E" w:rsidRPr="00225D4E" w14:paraId="246756F9" w14:textId="77777777" w:rsidTr="00225D4E">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487C6"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0596144"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FF5393A"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DA169DF"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13.5</w:t>
            </w:r>
          </w:p>
        </w:tc>
      </w:tr>
    </w:tbl>
    <w:p w14:paraId="2B804275" w14:textId="77777777" w:rsidR="00225D4E" w:rsidRPr="00225D4E" w:rsidRDefault="00225D4E" w:rsidP="00225D4E">
      <w:pPr>
        <w:rPr>
          <w:rFonts w:ascii="Times" w:eastAsia="Times New Roman" w:hAnsi="Times" w:cs="Times New Roman"/>
          <w:sz w:val="20"/>
          <w:szCs w:val="20"/>
        </w:rPr>
      </w:pPr>
      <w:r w:rsidRPr="00225D4E">
        <w:rPr>
          <w:rFonts w:ascii="Calibri" w:eastAsia="Times New Roman" w:hAnsi="Calibri" w:cs="Times New Roman"/>
          <w:sz w:val="22"/>
          <w:szCs w:val="22"/>
        </w:rPr>
        <w:t> </w:t>
      </w:r>
    </w:p>
    <w:p w14:paraId="6F15DE38" w14:textId="77777777" w:rsidR="00225D4E" w:rsidRPr="00691648" w:rsidRDefault="00225D4E" w:rsidP="00383B7F">
      <w:pPr>
        <w:tabs>
          <w:tab w:val="left" w:pos="12179"/>
        </w:tabs>
        <w:rPr>
          <w:u w:val="single"/>
        </w:rPr>
      </w:pPr>
    </w:p>
    <w:p w14:paraId="169D8C2D" w14:textId="77777777" w:rsidR="00383B7F" w:rsidRDefault="00383B7F" w:rsidP="00383B7F"/>
    <w:tbl>
      <w:tblPr>
        <w:tblStyle w:val="TableGrid"/>
        <w:tblW w:w="0" w:type="auto"/>
        <w:tblLook w:val="04A0" w:firstRow="1" w:lastRow="0" w:firstColumn="1" w:lastColumn="0" w:noHBand="0" w:noVBand="1"/>
      </w:tblPr>
      <w:tblGrid>
        <w:gridCol w:w="3163"/>
        <w:gridCol w:w="3180"/>
        <w:gridCol w:w="3272"/>
        <w:gridCol w:w="2932"/>
      </w:tblGrid>
      <w:tr w:rsidR="00D61033" w14:paraId="21568447" w14:textId="77777777" w:rsidTr="00D61033">
        <w:tc>
          <w:tcPr>
            <w:tcW w:w="3163" w:type="dxa"/>
          </w:tcPr>
          <w:p w14:paraId="35174EE0" w14:textId="77777777" w:rsidR="00D61033" w:rsidRDefault="00D61033" w:rsidP="00666D2D"/>
        </w:tc>
        <w:tc>
          <w:tcPr>
            <w:tcW w:w="3180" w:type="dxa"/>
          </w:tcPr>
          <w:p w14:paraId="5A39A783" w14:textId="77777777" w:rsidR="00D61033" w:rsidRDefault="00D61033" w:rsidP="00666D2D">
            <w:r>
              <w:t>20% research allocation</w:t>
            </w:r>
          </w:p>
        </w:tc>
        <w:tc>
          <w:tcPr>
            <w:tcW w:w="3272" w:type="dxa"/>
          </w:tcPr>
          <w:p w14:paraId="70DC3902" w14:textId="77777777" w:rsidR="00D61033" w:rsidRDefault="00D61033" w:rsidP="00666D2D">
            <w:r>
              <w:t>40% research allocation</w:t>
            </w:r>
          </w:p>
        </w:tc>
        <w:tc>
          <w:tcPr>
            <w:tcW w:w="2932" w:type="dxa"/>
          </w:tcPr>
          <w:p w14:paraId="4B83FB8F" w14:textId="77777777" w:rsidR="00D61033" w:rsidRPr="00666D2D" w:rsidRDefault="00D61033" w:rsidP="00CB3503">
            <w:r w:rsidRPr="000B4F4D">
              <w:t>60% research allocation</w:t>
            </w:r>
          </w:p>
        </w:tc>
      </w:tr>
      <w:tr w:rsidR="00D61033" w14:paraId="28D7512C" w14:textId="77777777" w:rsidTr="00D61033">
        <w:tc>
          <w:tcPr>
            <w:tcW w:w="3163" w:type="dxa"/>
          </w:tcPr>
          <w:p w14:paraId="0F1D5DC8" w14:textId="77777777" w:rsidR="00D61033" w:rsidRDefault="00D61033" w:rsidP="00666D2D">
            <w:r>
              <w:t>Level A research points</w:t>
            </w:r>
          </w:p>
        </w:tc>
        <w:tc>
          <w:tcPr>
            <w:tcW w:w="3180" w:type="dxa"/>
          </w:tcPr>
          <w:p w14:paraId="74A367CB" w14:textId="0E73A9C4" w:rsidR="00D61033" w:rsidRDefault="00225D4E" w:rsidP="00666D2D">
            <w:pPr>
              <w:jc w:val="center"/>
            </w:pPr>
            <w:r>
              <w:t>1.5</w:t>
            </w:r>
          </w:p>
        </w:tc>
        <w:tc>
          <w:tcPr>
            <w:tcW w:w="3272" w:type="dxa"/>
          </w:tcPr>
          <w:p w14:paraId="3BD1C20B" w14:textId="089F9158" w:rsidR="00D61033" w:rsidRDefault="00225D4E" w:rsidP="003B2491">
            <w:r>
              <w:t>3</w:t>
            </w:r>
          </w:p>
        </w:tc>
        <w:tc>
          <w:tcPr>
            <w:tcW w:w="2932" w:type="dxa"/>
          </w:tcPr>
          <w:p w14:paraId="790DFE07" w14:textId="33A7E9AB" w:rsidR="00D61033" w:rsidRPr="00666D2D" w:rsidDel="00666D2D" w:rsidRDefault="00225D4E" w:rsidP="00666D2D">
            <w:r>
              <w:t>4.5</w:t>
            </w:r>
          </w:p>
        </w:tc>
      </w:tr>
      <w:tr w:rsidR="00D61033" w14:paraId="27280589" w14:textId="77777777" w:rsidTr="00D61033">
        <w:tc>
          <w:tcPr>
            <w:tcW w:w="3163" w:type="dxa"/>
          </w:tcPr>
          <w:p w14:paraId="6751DDEC" w14:textId="77777777" w:rsidR="00D61033" w:rsidRDefault="00D61033" w:rsidP="00666D2D">
            <w:r>
              <w:t>Level B research points</w:t>
            </w:r>
          </w:p>
        </w:tc>
        <w:tc>
          <w:tcPr>
            <w:tcW w:w="3180" w:type="dxa"/>
          </w:tcPr>
          <w:p w14:paraId="4ABB97E0" w14:textId="0CAD012D" w:rsidR="00D61033" w:rsidRDefault="00225D4E" w:rsidP="00666D2D">
            <w:pPr>
              <w:jc w:val="center"/>
            </w:pPr>
            <w:r>
              <w:t>2.25</w:t>
            </w:r>
          </w:p>
        </w:tc>
        <w:tc>
          <w:tcPr>
            <w:tcW w:w="3272" w:type="dxa"/>
          </w:tcPr>
          <w:p w14:paraId="19BE50DB" w14:textId="0423A1E9" w:rsidR="00D61033" w:rsidRDefault="00225D4E" w:rsidP="003B2491">
            <w:r>
              <w:t>4.5</w:t>
            </w:r>
          </w:p>
        </w:tc>
        <w:tc>
          <w:tcPr>
            <w:tcW w:w="2932" w:type="dxa"/>
          </w:tcPr>
          <w:p w14:paraId="3530AB4A" w14:textId="3A8E3B97" w:rsidR="00D61033" w:rsidRPr="00666D2D" w:rsidDel="00666D2D" w:rsidRDefault="00225D4E" w:rsidP="00666D2D">
            <w:pPr>
              <w:tabs>
                <w:tab w:val="center" w:pos="1664"/>
              </w:tabs>
            </w:pPr>
            <w:r>
              <w:t>6.75</w:t>
            </w:r>
          </w:p>
        </w:tc>
      </w:tr>
      <w:tr w:rsidR="00D61033" w14:paraId="3B68D400" w14:textId="77777777" w:rsidTr="00D61033">
        <w:tc>
          <w:tcPr>
            <w:tcW w:w="3163" w:type="dxa"/>
          </w:tcPr>
          <w:p w14:paraId="45690F78" w14:textId="77777777" w:rsidR="00D61033" w:rsidRDefault="00D61033" w:rsidP="00666D2D">
            <w:r>
              <w:t>Level C research points</w:t>
            </w:r>
          </w:p>
        </w:tc>
        <w:tc>
          <w:tcPr>
            <w:tcW w:w="3180" w:type="dxa"/>
          </w:tcPr>
          <w:p w14:paraId="6A8338FF" w14:textId="37E70B6E" w:rsidR="00D61033" w:rsidRDefault="00225D4E" w:rsidP="00666D2D">
            <w:pPr>
              <w:jc w:val="center"/>
            </w:pPr>
            <w:r>
              <w:t>3</w:t>
            </w:r>
          </w:p>
        </w:tc>
        <w:tc>
          <w:tcPr>
            <w:tcW w:w="3272" w:type="dxa"/>
          </w:tcPr>
          <w:p w14:paraId="472E76A3" w14:textId="77E1BD37" w:rsidR="00D61033" w:rsidRDefault="00225D4E" w:rsidP="003B2491">
            <w:r>
              <w:t>6</w:t>
            </w:r>
          </w:p>
        </w:tc>
        <w:tc>
          <w:tcPr>
            <w:tcW w:w="2932" w:type="dxa"/>
          </w:tcPr>
          <w:p w14:paraId="5C8A298C" w14:textId="6336AA9E" w:rsidR="00D61033" w:rsidRPr="00666D2D" w:rsidRDefault="00225D4E" w:rsidP="00666D2D">
            <w:r>
              <w:t>9</w:t>
            </w:r>
          </w:p>
        </w:tc>
      </w:tr>
      <w:tr w:rsidR="00D61033" w14:paraId="348F0FE2" w14:textId="77777777" w:rsidTr="00D61033">
        <w:tc>
          <w:tcPr>
            <w:tcW w:w="3163" w:type="dxa"/>
          </w:tcPr>
          <w:p w14:paraId="3F99CC4E" w14:textId="77777777" w:rsidR="00D61033" w:rsidRDefault="00D61033" w:rsidP="00666D2D">
            <w:r>
              <w:t>Level D research points</w:t>
            </w:r>
          </w:p>
        </w:tc>
        <w:tc>
          <w:tcPr>
            <w:tcW w:w="3180" w:type="dxa"/>
          </w:tcPr>
          <w:p w14:paraId="0A3FB10B" w14:textId="153F5C96" w:rsidR="00D61033" w:rsidRDefault="00225D4E" w:rsidP="00666D2D">
            <w:pPr>
              <w:jc w:val="center"/>
            </w:pPr>
            <w:r>
              <w:t>3.75</w:t>
            </w:r>
          </w:p>
        </w:tc>
        <w:tc>
          <w:tcPr>
            <w:tcW w:w="3272" w:type="dxa"/>
          </w:tcPr>
          <w:p w14:paraId="4877AB44" w14:textId="48B757C0" w:rsidR="00D61033" w:rsidRDefault="00225D4E" w:rsidP="003B2491">
            <w:r>
              <w:t>7.5</w:t>
            </w:r>
          </w:p>
        </w:tc>
        <w:tc>
          <w:tcPr>
            <w:tcW w:w="2932" w:type="dxa"/>
          </w:tcPr>
          <w:p w14:paraId="31F2395A" w14:textId="3FD65C3E" w:rsidR="00D61033" w:rsidRPr="00666D2D" w:rsidDel="00666D2D" w:rsidRDefault="00D61033" w:rsidP="00666D2D">
            <w:r>
              <w:t>1</w:t>
            </w:r>
            <w:r w:rsidR="00225D4E">
              <w:t>1.25</w:t>
            </w:r>
          </w:p>
        </w:tc>
      </w:tr>
      <w:tr w:rsidR="00D61033" w14:paraId="07D4B12D" w14:textId="77777777" w:rsidTr="00D61033">
        <w:tc>
          <w:tcPr>
            <w:tcW w:w="3163" w:type="dxa"/>
          </w:tcPr>
          <w:p w14:paraId="6F6110F0" w14:textId="77777777" w:rsidR="00D61033" w:rsidRDefault="00D61033" w:rsidP="00666D2D">
            <w:r>
              <w:t>Level E research points</w:t>
            </w:r>
          </w:p>
        </w:tc>
        <w:tc>
          <w:tcPr>
            <w:tcW w:w="3180" w:type="dxa"/>
          </w:tcPr>
          <w:p w14:paraId="79D3BE18" w14:textId="1D9D82A8" w:rsidR="00D61033" w:rsidRDefault="00D61033" w:rsidP="00FC2997">
            <w:r>
              <w:t xml:space="preserve">                          </w:t>
            </w:r>
            <w:r w:rsidR="00225D4E">
              <w:t>4.</w:t>
            </w:r>
            <w:r>
              <w:t>5</w:t>
            </w:r>
          </w:p>
        </w:tc>
        <w:tc>
          <w:tcPr>
            <w:tcW w:w="3272" w:type="dxa"/>
          </w:tcPr>
          <w:p w14:paraId="4B30A91C" w14:textId="3E945CBF" w:rsidR="00D61033" w:rsidRDefault="00225D4E" w:rsidP="003B2491">
            <w:r>
              <w:t>9</w:t>
            </w:r>
          </w:p>
        </w:tc>
        <w:tc>
          <w:tcPr>
            <w:tcW w:w="2932" w:type="dxa"/>
          </w:tcPr>
          <w:p w14:paraId="24D483E5" w14:textId="6C3D5981" w:rsidR="00D61033" w:rsidRPr="00666D2D" w:rsidRDefault="00D61033" w:rsidP="00666D2D">
            <w:r>
              <w:t>1</w:t>
            </w:r>
            <w:r w:rsidR="00225D4E">
              <w:t>3.5</w:t>
            </w:r>
          </w:p>
        </w:tc>
      </w:tr>
    </w:tbl>
    <w:p w14:paraId="059DBBAE" w14:textId="77777777" w:rsidR="00383B7F" w:rsidRPr="00381962" w:rsidRDefault="00383B7F" w:rsidP="00383B7F"/>
    <w:p w14:paraId="0F35BBC2" w14:textId="77777777" w:rsidR="00B8684A" w:rsidRPr="00381962" w:rsidRDefault="00B8684A" w:rsidP="00383B7F">
      <w:pPr>
        <w:rPr>
          <w:sz w:val="20"/>
          <w:szCs w:val="20"/>
        </w:rPr>
      </w:pPr>
    </w:p>
    <w:p w14:paraId="1B70C823" w14:textId="01547374" w:rsidR="00383B7F" w:rsidRDefault="00383B7F" w:rsidP="00383B7F">
      <w:pPr>
        <w:pStyle w:val="ListParagraph"/>
        <w:numPr>
          <w:ilvl w:val="0"/>
          <w:numId w:val="1"/>
        </w:numPr>
        <w:ind w:left="360"/>
        <w:rPr>
          <w:sz w:val="20"/>
          <w:szCs w:val="20"/>
        </w:rPr>
      </w:pPr>
      <w:r w:rsidRPr="00381962">
        <w:rPr>
          <w:sz w:val="20"/>
          <w:szCs w:val="20"/>
        </w:rPr>
        <w:t xml:space="preserve">Research points are </w:t>
      </w:r>
      <w:r w:rsidRPr="00A9009A">
        <w:rPr>
          <w:sz w:val="20"/>
          <w:szCs w:val="20"/>
        </w:rPr>
        <w:t>accumulated</w:t>
      </w:r>
      <w:r w:rsidRPr="000103BB">
        <w:rPr>
          <w:sz w:val="20"/>
          <w:szCs w:val="20"/>
        </w:rPr>
        <w:t xml:space="preserve"> by (i) publishing in journals ranked A**, A*, A or B on the </w:t>
      </w:r>
      <w:r w:rsidRPr="000103BB">
        <w:rPr>
          <w:i/>
          <w:sz w:val="20"/>
          <w:szCs w:val="20"/>
        </w:rPr>
        <w:t xml:space="preserve">Law  </w:t>
      </w:r>
      <w:r w:rsidR="004504BD">
        <w:rPr>
          <w:i/>
          <w:sz w:val="20"/>
          <w:szCs w:val="20"/>
        </w:rPr>
        <w:t>Journal</w:t>
      </w:r>
      <w:r w:rsidRPr="000103BB">
        <w:rPr>
          <w:i/>
          <w:sz w:val="20"/>
          <w:szCs w:val="20"/>
        </w:rPr>
        <w:t xml:space="preserve"> List</w:t>
      </w:r>
      <w:r w:rsidR="00C45BEB">
        <w:rPr>
          <w:i/>
          <w:sz w:val="20"/>
          <w:szCs w:val="20"/>
        </w:rPr>
        <w:t xml:space="preserve"> </w:t>
      </w:r>
      <w:r w:rsidRPr="003B2491">
        <w:rPr>
          <w:sz w:val="20"/>
          <w:szCs w:val="20"/>
        </w:rPr>
        <w:t>(which includes all journals on the Washington and Lee list, ABDC list, and ERA list)</w:t>
      </w:r>
      <w:r>
        <w:rPr>
          <w:i/>
          <w:sz w:val="20"/>
          <w:szCs w:val="20"/>
        </w:rPr>
        <w:t xml:space="preserve"> </w:t>
      </w:r>
      <w:r w:rsidRPr="000103BB">
        <w:rPr>
          <w:i/>
          <w:sz w:val="20"/>
          <w:szCs w:val="20"/>
        </w:rPr>
        <w:t xml:space="preserve">, </w:t>
      </w:r>
      <w:r w:rsidRPr="000103BB">
        <w:rPr>
          <w:sz w:val="20"/>
          <w:szCs w:val="20"/>
        </w:rPr>
        <w:t>(ii) publishing scholarly books or book chapters,</w:t>
      </w:r>
      <w:r w:rsidRPr="00C735DA">
        <w:rPr>
          <w:sz w:val="20"/>
          <w:szCs w:val="20"/>
        </w:rPr>
        <w:t xml:space="preserve"> and (iii) publishing a law report or law reform submission and </w:t>
      </w:r>
      <w:r w:rsidRPr="00381962">
        <w:rPr>
          <w:sz w:val="20"/>
          <w:szCs w:val="20"/>
        </w:rPr>
        <w:t>(iv) research grants and income.</w:t>
      </w:r>
    </w:p>
    <w:p w14:paraId="50BAA534" w14:textId="71B5337B" w:rsidR="00383B7F" w:rsidRDefault="00383B7F" w:rsidP="00383B7F">
      <w:pPr>
        <w:pStyle w:val="ListParagraph"/>
        <w:numPr>
          <w:ilvl w:val="0"/>
          <w:numId w:val="1"/>
        </w:numPr>
        <w:ind w:left="360"/>
        <w:rPr>
          <w:sz w:val="20"/>
          <w:szCs w:val="20"/>
        </w:rPr>
      </w:pPr>
      <w:r>
        <w:rPr>
          <w:sz w:val="20"/>
          <w:szCs w:val="20"/>
        </w:rPr>
        <w:t xml:space="preserve">The </w:t>
      </w:r>
      <w:r w:rsidR="00C45BEB" w:rsidRPr="000103BB">
        <w:rPr>
          <w:i/>
          <w:sz w:val="20"/>
          <w:szCs w:val="20"/>
        </w:rPr>
        <w:t xml:space="preserve">Law </w:t>
      </w:r>
      <w:r w:rsidR="004504BD">
        <w:rPr>
          <w:i/>
          <w:sz w:val="20"/>
          <w:szCs w:val="20"/>
        </w:rPr>
        <w:t xml:space="preserve">Journal </w:t>
      </w:r>
      <w:r w:rsidR="00C45BEB" w:rsidRPr="000103BB">
        <w:rPr>
          <w:i/>
          <w:sz w:val="20"/>
          <w:szCs w:val="20"/>
        </w:rPr>
        <w:t>List</w:t>
      </w:r>
      <w:r w:rsidR="00C45BEB">
        <w:rPr>
          <w:i/>
          <w:sz w:val="20"/>
          <w:szCs w:val="20"/>
        </w:rPr>
        <w:t xml:space="preserve"> </w:t>
      </w:r>
      <w:r>
        <w:rPr>
          <w:sz w:val="20"/>
          <w:szCs w:val="20"/>
        </w:rPr>
        <w:t xml:space="preserve">will be updated by the Director of Research on an annual basis taking account of changes to rankings in </w:t>
      </w:r>
      <w:r w:rsidR="00C45BEB">
        <w:rPr>
          <w:sz w:val="20"/>
          <w:szCs w:val="20"/>
        </w:rPr>
        <w:t xml:space="preserve">the </w:t>
      </w:r>
      <w:r>
        <w:rPr>
          <w:sz w:val="20"/>
          <w:szCs w:val="20"/>
        </w:rPr>
        <w:t>Washington and Lee</w:t>
      </w:r>
      <w:r w:rsidR="00C45BEB">
        <w:rPr>
          <w:sz w:val="20"/>
          <w:szCs w:val="20"/>
        </w:rPr>
        <w:t xml:space="preserve"> and ABDC lists. This will be done </w:t>
      </w:r>
      <w:r>
        <w:rPr>
          <w:sz w:val="20"/>
          <w:szCs w:val="20"/>
        </w:rPr>
        <w:t>in consultation with discipline specific researchers</w:t>
      </w:r>
      <w:r w:rsidR="00C45BEB">
        <w:rPr>
          <w:sz w:val="20"/>
          <w:szCs w:val="20"/>
        </w:rPr>
        <w:t xml:space="preserve"> and no negative changes will be applied retrospectively</w:t>
      </w:r>
    </w:p>
    <w:p w14:paraId="2360A877" w14:textId="66D871F7" w:rsidR="00383B7F" w:rsidRDefault="00383B7F" w:rsidP="00383B7F">
      <w:pPr>
        <w:pStyle w:val="ListParagraph"/>
        <w:numPr>
          <w:ilvl w:val="0"/>
          <w:numId w:val="1"/>
        </w:numPr>
        <w:ind w:left="360"/>
        <w:rPr>
          <w:sz w:val="20"/>
          <w:szCs w:val="20"/>
        </w:rPr>
      </w:pPr>
      <w:r w:rsidRPr="00E37CFA">
        <w:rPr>
          <w:sz w:val="20"/>
          <w:szCs w:val="20"/>
        </w:rPr>
        <w:t xml:space="preserve">A </w:t>
      </w:r>
      <w:r w:rsidRPr="003B2491">
        <w:rPr>
          <w:i/>
          <w:sz w:val="20"/>
          <w:szCs w:val="20"/>
        </w:rPr>
        <w:t>Law Book Publi</w:t>
      </w:r>
      <w:r w:rsidR="00C45BEB">
        <w:rPr>
          <w:i/>
          <w:sz w:val="20"/>
          <w:szCs w:val="20"/>
        </w:rPr>
        <w:t>sher</w:t>
      </w:r>
      <w:r w:rsidRPr="003B2491">
        <w:rPr>
          <w:i/>
          <w:sz w:val="20"/>
          <w:szCs w:val="20"/>
        </w:rPr>
        <w:t xml:space="preserve"> List</w:t>
      </w:r>
      <w:r w:rsidRPr="00E37CFA">
        <w:rPr>
          <w:sz w:val="20"/>
          <w:szCs w:val="20"/>
        </w:rPr>
        <w:t xml:space="preserve"> will be compiled </w:t>
      </w:r>
      <w:r>
        <w:rPr>
          <w:sz w:val="20"/>
          <w:szCs w:val="20"/>
        </w:rPr>
        <w:t xml:space="preserve">and updated </w:t>
      </w:r>
      <w:r w:rsidR="0053425B">
        <w:rPr>
          <w:sz w:val="20"/>
          <w:szCs w:val="20"/>
        </w:rPr>
        <w:t xml:space="preserve">at least </w:t>
      </w:r>
      <w:r>
        <w:rPr>
          <w:sz w:val="20"/>
          <w:szCs w:val="20"/>
        </w:rPr>
        <w:t>yearly</w:t>
      </w:r>
      <w:r w:rsidR="0053425B">
        <w:rPr>
          <w:sz w:val="20"/>
          <w:szCs w:val="20"/>
        </w:rPr>
        <w:t>, reflecting available statistics on publisher standing and impact in law</w:t>
      </w:r>
      <w:r>
        <w:rPr>
          <w:sz w:val="20"/>
          <w:szCs w:val="20"/>
        </w:rPr>
        <w:t xml:space="preserve">.  </w:t>
      </w:r>
      <w:r w:rsidR="0053425B">
        <w:rPr>
          <w:sz w:val="20"/>
          <w:szCs w:val="20"/>
        </w:rPr>
        <w:t>No negative changes will be applied retrospectively.</w:t>
      </w:r>
    </w:p>
    <w:p w14:paraId="4E2B9846" w14:textId="56A0F087" w:rsidR="00383B7F" w:rsidRPr="00E37CFA" w:rsidRDefault="00383B7F" w:rsidP="00383B7F">
      <w:pPr>
        <w:pStyle w:val="ListParagraph"/>
        <w:numPr>
          <w:ilvl w:val="0"/>
          <w:numId w:val="1"/>
        </w:numPr>
        <w:ind w:left="360"/>
        <w:rPr>
          <w:sz w:val="20"/>
          <w:szCs w:val="20"/>
        </w:rPr>
      </w:pPr>
      <w:r w:rsidRPr="00E37CFA">
        <w:rPr>
          <w:sz w:val="20"/>
          <w:szCs w:val="20"/>
        </w:rPr>
        <w:t xml:space="preserve">An A** list will be compiled by the </w:t>
      </w:r>
      <w:r w:rsidR="00B127F8">
        <w:rPr>
          <w:sz w:val="20"/>
          <w:szCs w:val="20"/>
        </w:rPr>
        <w:t>R</w:t>
      </w:r>
      <w:r w:rsidRPr="00E37CFA">
        <w:rPr>
          <w:sz w:val="20"/>
          <w:szCs w:val="20"/>
        </w:rPr>
        <w:t xml:space="preserve">esearch </w:t>
      </w:r>
      <w:r w:rsidR="00B127F8">
        <w:rPr>
          <w:sz w:val="20"/>
          <w:szCs w:val="20"/>
        </w:rPr>
        <w:t>C</w:t>
      </w:r>
      <w:r w:rsidRPr="00E37CFA">
        <w:rPr>
          <w:sz w:val="20"/>
          <w:szCs w:val="20"/>
        </w:rPr>
        <w:t>ommittee</w:t>
      </w:r>
      <w:r w:rsidR="00B127F8">
        <w:rPr>
          <w:rStyle w:val="FootnoteReference"/>
          <w:sz w:val="20"/>
          <w:szCs w:val="20"/>
        </w:rPr>
        <w:footnoteReference w:id="2"/>
      </w:r>
      <w:r w:rsidRPr="00E37CFA">
        <w:rPr>
          <w:sz w:val="20"/>
          <w:szCs w:val="20"/>
        </w:rPr>
        <w:t>, based upon staff input, and updated on an annual basis</w:t>
      </w:r>
      <w:r w:rsidR="0053425B">
        <w:rPr>
          <w:sz w:val="20"/>
          <w:szCs w:val="20"/>
        </w:rPr>
        <w:t>. This list will identify a small number of journals that are uniformly highly rated by Australian and international legal scholars.</w:t>
      </w:r>
      <w:r w:rsidRPr="00E37CFA">
        <w:rPr>
          <w:sz w:val="20"/>
          <w:szCs w:val="20"/>
        </w:rPr>
        <w:t xml:space="preserve"> </w:t>
      </w:r>
    </w:p>
    <w:p w14:paraId="797D945C" w14:textId="71218502" w:rsidR="00383B7F" w:rsidRPr="00381962" w:rsidRDefault="00383B7F" w:rsidP="00383B7F">
      <w:pPr>
        <w:pStyle w:val="ListParagraph"/>
        <w:numPr>
          <w:ilvl w:val="0"/>
          <w:numId w:val="1"/>
        </w:numPr>
        <w:ind w:left="360"/>
        <w:rPr>
          <w:sz w:val="20"/>
          <w:szCs w:val="20"/>
        </w:rPr>
      </w:pPr>
      <w:r w:rsidRPr="00381962">
        <w:rPr>
          <w:sz w:val="20"/>
          <w:szCs w:val="20"/>
        </w:rPr>
        <w:t>Research points from publications accrue as follows:</w:t>
      </w:r>
      <w:r w:rsidRPr="00381962">
        <w:rPr>
          <w:sz w:val="20"/>
          <w:szCs w:val="20"/>
        </w:rPr>
        <w:br/>
        <w:t xml:space="preserve">A1 Law Research Book = </w:t>
      </w:r>
      <w:r>
        <w:rPr>
          <w:sz w:val="20"/>
          <w:szCs w:val="20"/>
        </w:rPr>
        <w:t>1</w:t>
      </w:r>
      <w:r w:rsidR="006D08C0">
        <w:rPr>
          <w:sz w:val="20"/>
          <w:szCs w:val="20"/>
        </w:rPr>
        <w:t>5</w:t>
      </w:r>
      <w:r>
        <w:rPr>
          <w:sz w:val="20"/>
          <w:szCs w:val="20"/>
        </w:rPr>
        <w:t xml:space="preserve"> points (Research books by publishers on the </w:t>
      </w:r>
      <w:r w:rsidRPr="003B2491">
        <w:rPr>
          <w:i/>
          <w:sz w:val="20"/>
          <w:szCs w:val="20"/>
        </w:rPr>
        <w:t>Law Book Publishers</w:t>
      </w:r>
      <w:r>
        <w:rPr>
          <w:sz w:val="20"/>
          <w:szCs w:val="20"/>
        </w:rPr>
        <w:t xml:space="preserve"> list will attract 5 </w:t>
      </w:r>
      <w:r w:rsidR="0053425B">
        <w:rPr>
          <w:sz w:val="20"/>
          <w:szCs w:val="20"/>
        </w:rPr>
        <w:t xml:space="preserve">additional </w:t>
      </w:r>
      <w:r>
        <w:rPr>
          <w:sz w:val="20"/>
          <w:szCs w:val="20"/>
        </w:rPr>
        <w:t>points)</w:t>
      </w:r>
      <w:r w:rsidR="0053425B">
        <w:rPr>
          <w:sz w:val="20"/>
          <w:szCs w:val="20"/>
        </w:rPr>
        <w:t>.  Points for books are prorated among multiple authors</w:t>
      </w:r>
      <w:r w:rsidR="00B127F8">
        <w:rPr>
          <w:sz w:val="20"/>
          <w:szCs w:val="20"/>
        </w:rPr>
        <w:t>,</w:t>
      </w:r>
      <w:r w:rsidR="006D08C0">
        <w:rPr>
          <w:sz w:val="20"/>
          <w:szCs w:val="20"/>
        </w:rPr>
        <w:t xml:space="preserve"> for example three co-authors will each get 5 points.</w:t>
      </w:r>
      <w:r w:rsidR="006D08C0" w:rsidDel="006D08C0">
        <w:rPr>
          <w:sz w:val="20"/>
          <w:szCs w:val="20"/>
        </w:rPr>
        <w:t xml:space="preserve"> </w:t>
      </w:r>
      <w:r w:rsidRPr="000103BB">
        <w:rPr>
          <w:sz w:val="20"/>
          <w:szCs w:val="20"/>
        </w:rPr>
        <w:br/>
        <w:t xml:space="preserve">B1 = </w:t>
      </w:r>
      <w:r>
        <w:rPr>
          <w:sz w:val="20"/>
          <w:szCs w:val="20"/>
        </w:rPr>
        <w:t>2</w:t>
      </w:r>
      <w:r w:rsidRPr="00381962">
        <w:rPr>
          <w:sz w:val="20"/>
          <w:szCs w:val="20"/>
        </w:rPr>
        <w:t xml:space="preserve"> points </w:t>
      </w:r>
      <w:r>
        <w:rPr>
          <w:sz w:val="20"/>
          <w:szCs w:val="20"/>
        </w:rPr>
        <w:t>(</w:t>
      </w:r>
      <w:r w:rsidR="0053425B">
        <w:rPr>
          <w:sz w:val="20"/>
          <w:szCs w:val="20"/>
        </w:rPr>
        <w:t>C</w:t>
      </w:r>
      <w:r>
        <w:rPr>
          <w:sz w:val="20"/>
          <w:szCs w:val="20"/>
        </w:rPr>
        <w:t xml:space="preserve">hapters </w:t>
      </w:r>
      <w:r w:rsidR="0053425B">
        <w:rPr>
          <w:sz w:val="20"/>
          <w:szCs w:val="20"/>
        </w:rPr>
        <w:t xml:space="preserve">in research books </w:t>
      </w:r>
      <w:r>
        <w:rPr>
          <w:sz w:val="20"/>
          <w:szCs w:val="20"/>
        </w:rPr>
        <w:t xml:space="preserve">by publishers on the </w:t>
      </w:r>
      <w:r w:rsidRPr="003B2491">
        <w:rPr>
          <w:i/>
          <w:sz w:val="20"/>
          <w:szCs w:val="20"/>
        </w:rPr>
        <w:t xml:space="preserve">Law Book Publisher </w:t>
      </w:r>
      <w:r w:rsidR="0053425B" w:rsidRPr="003B2491">
        <w:rPr>
          <w:i/>
          <w:sz w:val="20"/>
          <w:szCs w:val="20"/>
        </w:rPr>
        <w:t>L</w:t>
      </w:r>
      <w:r w:rsidRPr="003B2491">
        <w:rPr>
          <w:i/>
          <w:sz w:val="20"/>
          <w:szCs w:val="20"/>
        </w:rPr>
        <w:t>ist</w:t>
      </w:r>
      <w:r>
        <w:rPr>
          <w:sz w:val="20"/>
          <w:szCs w:val="20"/>
        </w:rPr>
        <w:t xml:space="preserve"> will attract </w:t>
      </w:r>
      <w:r w:rsidR="0053425B">
        <w:rPr>
          <w:sz w:val="20"/>
          <w:szCs w:val="20"/>
        </w:rPr>
        <w:t>3</w:t>
      </w:r>
      <w:r>
        <w:rPr>
          <w:sz w:val="20"/>
          <w:szCs w:val="20"/>
        </w:rPr>
        <w:t xml:space="preserve"> points)</w:t>
      </w:r>
      <w:r w:rsidR="0053425B">
        <w:rPr>
          <w:sz w:val="20"/>
          <w:szCs w:val="20"/>
        </w:rPr>
        <w:t>.</w:t>
      </w:r>
      <w:r w:rsidRPr="00381962">
        <w:rPr>
          <w:sz w:val="20"/>
          <w:szCs w:val="20"/>
        </w:rPr>
        <w:br/>
        <w:t xml:space="preserve">C1 A** = </w:t>
      </w:r>
      <w:r w:rsidR="00B46ED9">
        <w:rPr>
          <w:sz w:val="20"/>
          <w:szCs w:val="20"/>
        </w:rPr>
        <w:t>16</w:t>
      </w:r>
      <w:r w:rsidRPr="00381962">
        <w:rPr>
          <w:sz w:val="20"/>
          <w:szCs w:val="20"/>
        </w:rPr>
        <w:t xml:space="preserve"> points; C1 A* =</w:t>
      </w:r>
      <w:r>
        <w:rPr>
          <w:sz w:val="20"/>
          <w:szCs w:val="20"/>
        </w:rPr>
        <w:t>10</w:t>
      </w:r>
      <w:r w:rsidRPr="00381962">
        <w:rPr>
          <w:sz w:val="20"/>
          <w:szCs w:val="20"/>
        </w:rPr>
        <w:t xml:space="preserve"> points; C1 A = </w:t>
      </w:r>
      <w:r>
        <w:rPr>
          <w:sz w:val="20"/>
          <w:szCs w:val="20"/>
        </w:rPr>
        <w:t>6</w:t>
      </w:r>
      <w:r w:rsidRPr="00381962">
        <w:rPr>
          <w:sz w:val="20"/>
          <w:szCs w:val="20"/>
        </w:rPr>
        <w:t xml:space="preserve"> points; C1 B = </w:t>
      </w:r>
      <w:r>
        <w:rPr>
          <w:sz w:val="20"/>
          <w:szCs w:val="20"/>
        </w:rPr>
        <w:t>2</w:t>
      </w:r>
      <w:r w:rsidRPr="00381962">
        <w:rPr>
          <w:sz w:val="20"/>
          <w:szCs w:val="20"/>
        </w:rPr>
        <w:t xml:space="preserve"> points; C1 C = </w:t>
      </w:r>
      <w:r>
        <w:rPr>
          <w:sz w:val="20"/>
          <w:szCs w:val="20"/>
        </w:rPr>
        <w:t>0 points</w:t>
      </w:r>
      <w:r w:rsidR="009139D0">
        <w:rPr>
          <w:sz w:val="20"/>
          <w:szCs w:val="20"/>
        </w:rPr>
        <w:t>.</w:t>
      </w:r>
      <w:r>
        <w:rPr>
          <w:sz w:val="20"/>
          <w:szCs w:val="20"/>
        </w:rPr>
        <w:t xml:space="preserve"> </w:t>
      </w:r>
      <w:r w:rsidR="0053425B">
        <w:rPr>
          <w:sz w:val="20"/>
          <w:szCs w:val="20"/>
        </w:rPr>
        <w:t xml:space="preserve">The </w:t>
      </w:r>
      <w:r w:rsidR="00CB3503">
        <w:rPr>
          <w:sz w:val="20"/>
          <w:szCs w:val="20"/>
        </w:rPr>
        <w:t>R</w:t>
      </w:r>
      <w:r w:rsidR="0053425B">
        <w:rPr>
          <w:sz w:val="20"/>
          <w:szCs w:val="20"/>
        </w:rPr>
        <w:t xml:space="preserve">esearch </w:t>
      </w:r>
      <w:r w:rsidR="00CB3503">
        <w:rPr>
          <w:sz w:val="20"/>
          <w:szCs w:val="20"/>
        </w:rPr>
        <w:t>C</w:t>
      </w:r>
      <w:r>
        <w:rPr>
          <w:sz w:val="20"/>
          <w:szCs w:val="20"/>
        </w:rPr>
        <w:t xml:space="preserve">ommittee has </w:t>
      </w:r>
      <w:r w:rsidR="0053425B">
        <w:rPr>
          <w:sz w:val="20"/>
          <w:szCs w:val="20"/>
        </w:rPr>
        <w:t xml:space="preserve">the </w:t>
      </w:r>
      <w:r>
        <w:rPr>
          <w:sz w:val="20"/>
          <w:szCs w:val="20"/>
        </w:rPr>
        <w:t xml:space="preserve">discretion to award a point for </w:t>
      </w:r>
      <w:r w:rsidR="0053425B">
        <w:rPr>
          <w:sz w:val="20"/>
          <w:szCs w:val="20"/>
        </w:rPr>
        <w:t xml:space="preserve">an article in a </w:t>
      </w:r>
      <w:r>
        <w:rPr>
          <w:sz w:val="20"/>
          <w:szCs w:val="20"/>
        </w:rPr>
        <w:t>peer respected, well cited C journals</w:t>
      </w:r>
      <w:r w:rsidR="006D08C0">
        <w:rPr>
          <w:sz w:val="20"/>
          <w:szCs w:val="20"/>
        </w:rPr>
        <w:t>.</w:t>
      </w:r>
    </w:p>
    <w:p w14:paraId="61B192F1" w14:textId="6736B15C" w:rsidR="00383B7F" w:rsidRPr="009139D0" w:rsidRDefault="00383B7F" w:rsidP="00383B7F">
      <w:pPr>
        <w:pStyle w:val="ListParagraph"/>
        <w:ind w:left="360"/>
        <w:rPr>
          <w:sz w:val="20"/>
          <w:szCs w:val="20"/>
        </w:rPr>
      </w:pPr>
      <w:r>
        <w:rPr>
          <w:sz w:val="20"/>
          <w:szCs w:val="20"/>
        </w:rPr>
        <w:t xml:space="preserve">Law </w:t>
      </w:r>
      <w:r w:rsidR="0053425B">
        <w:rPr>
          <w:sz w:val="20"/>
          <w:szCs w:val="20"/>
        </w:rPr>
        <w:t xml:space="preserve">Research </w:t>
      </w:r>
      <w:r w:rsidRPr="00A9009A">
        <w:rPr>
          <w:sz w:val="20"/>
          <w:szCs w:val="20"/>
        </w:rPr>
        <w:t xml:space="preserve">Reports </w:t>
      </w:r>
      <w:r w:rsidR="0053425B">
        <w:rPr>
          <w:sz w:val="20"/>
          <w:szCs w:val="20"/>
        </w:rPr>
        <w:t xml:space="preserve">= </w:t>
      </w:r>
      <w:r>
        <w:rPr>
          <w:sz w:val="20"/>
          <w:szCs w:val="20"/>
        </w:rPr>
        <w:t xml:space="preserve">1 </w:t>
      </w:r>
      <w:r w:rsidRPr="009139D0">
        <w:rPr>
          <w:sz w:val="20"/>
          <w:szCs w:val="20"/>
        </w:rPr>
        <w:t xml:space="preserve">point </w:t>
      </w:r>
      <w:r w:rsidR="0053425B" w:rsidRPr="009139D0">
        <w:rPr>
          <w:sz w:val="20"/>
          <w:szCs w:val="20"/>
        </w:rPr>
        <w:t>per 10 000 words</w:t>
      </w:r>
      <w:r w:rsidR="003C6620">
        <w:rPr>
          <w:sz w:val="20"/>
          <w:szCs w:val="20"/>
        </w:rPr>
        <w:t>.</w:t>
      </w:r>
      <w:r w:rsidR="0053425B" w:rsidRPr="009139D0">
        <w:rPr>
          <w:sz w:val="20"/>
          <w:szCs w:val="20"/>
        </w:rPr>
        <w:t xml:space="preserve"> </w:t>
      </w:r>
      <w:r w:rsidR="00CB3503">
        <w:rPr>
          <w:sz w:val="20"/>
          <w:szCs w:val="20"/>
        </w:rPr>
        <w:t xml:space="preserve">The Research </w:t>
      </w:r>
      <w:r w:rsidRPr="009139D0">
        <w:rPr>
          <w:sz w:val="20"/>
          <w:szCs w:val="20"/>
        </w:rPr>
        <w:t>Committee has discretion to award additional point</w:t>
      </w:r>
      <w:r w:rsidR="0053425B" w:rsidRPr="009139D0">
        <w:rPr>
          <w:sz w:val="20"/>
          <w:szCs w:val="20"/>
        </w:rPr>
        <w:t>s</w:t>
      </w:r>
      <w:r w:rsidRPr="009139D0">
        <w:rPr>
          <w:sz w:val="20"/>
          <w:szCs w:val="20"/>
        </w:rPr>
        <w:t xml:space="preserve"> taking into account impact and citation factors.</w:t>
      </w:r>
    </w:p>
    <w:p w14:paraId="745F1BC3" w14:textId="64C74727" w:rsidR="00383B7F" w:rsidRPr="009139D0" w:rsidRDefault="00383B7F" w:rsidP="00383B7F">
      <w:pPr>
        <w:pStyle w:val="ListParagraph"/>
        <w:ind w:left="360"/>
        <w:rPr>
          <w:sz w:val="20"/>
          <w:szCs w:val="20"/>
        </w:rPr>
      </w:pPr>
      <w:r w:rsidRPr="009139D0">
        <w:rPr>
          <w:sz w:val="20"/>
          <w:szCs w:val="20"/>
        </w:rPr>
        <w:t>Law Reform Submissions = 1 point</w:t>
      </w:r>
      <w:r w:rsidR="003C6620" w:rsidRPr="003C6620">
        <w:rPr>
          <w:sz w:val="20"/>
          <w:szCs w:val="20"/>
        </w:rPr>
        <w:t xml:space="preserve"> </w:t>
      </w:r>
      <w:r w:rsidR="003C6620">
        <w:rPr>
          <w:sz w:val="20"/>
          <w:szCs w:val="20"/>
        </w:rPr>
        <w:t>for a submission of  2</w:t>
      </w:r>
      <w:r w:rsidR="003C6620" w:rsidRPr="009139D0">
        <w:rPr>
          <w:sz w:val="20"/>
          <w:szCs w:val="20"/>
        </w:rPr>
        <w:t xml:space="preserve"> 000 words</w:t>
      </w:r>
      <w:r w:rsidRPr="009139D0">
        <w:rPr>
          <w:sz w:val="20"/>
          <w:szCs w:val="20"/>
        </w:rPr>
        <w:t xml:space="preserve"> </w:t>
      </w:r>
      <w:r w:rsidR="003C6620">
        <w:rPr>
          <w:sz w:val="20"/>
          <w:szCs w:val="20"/>
        </w:rPr>
        <w:t xml:space="preserve">or more. </w:t>
      </w:r>
      <w:r w:rsidR="00CB3503">
        <w:rPr>
          <w:sz w:val="20"/>
          <w:szCs w:val="20"/>
        </w:rPr>
        <w:t xml:space="preserve">The Research </w:t>
      </w:r>
      <w:r w:rsidRPr="009139D0">
        <w:rPr>
          <w:sz w:val="20"/>
          <w:szCs w:val="20"/>
        </w:rPr>
        <w:t>Committee has discretion to award an additional point taking into account impact and citation factors.</w:t>
      </w:r>
    </w:p>
    <w:p w14:paraId="7FB8FD79" w14:textId="3D819D78" w:rsidR="00383B7F" w:rsidRPr="009139D0" w:rsidRDefault="00383B7F" w:rsidP="006D08C0">
      <w:pPr>
        <w:rPr>
          <w:sz w:val="20"/>
          <w:szCs w:val="20"/>
        </w:rPr>
      </w:pPr>
      <w:r w:rsidRPr="009139D0">
        <w:rPr>
          <w:sz w:val="20"/>
          <w:szCs w:val="20"/>
        </w:rPr>
        <w:t>6</w:t>
      </w:r>
      <w:r w:rsidR="00CB3503">
        <w:rPr>
          <w:sz w:val="20"/>
          <w:szCs w:val="20"/>
        </w:rPr>
        <w:t>.</w:t>
      </w:r>
      <w:r w:rsidR="006D08C0" w:rsidRPr="009139D0">
        <w:rPr>
          <w:sz w:val="20"/>
          <w:szCs w:val="20"/>
        </w:rPr>
        <w:t xml:space="preserve"> </w:t>
      </w:r>
      <w:r w:rsidR="009139D0">
        <w:rPr>
          <w:sz w:val="20"/>
          <w:szCs w:val="20"/>
        </w:rPr>
        <w:t xml:space="preserve">    </w:t>
      </w:r>
      <w:r w:rsidRPr="009139D0">
        <w:rPr>
          <w:sz w:val="20"/>
          <w:szCs w:val="20"/>
        </w:rPr>
        <w:t xml:space="preserve">Consistent with Faculty strategy and our value of balance across academic activities, we aspire to achieve a mean of 40% research allocation </w:t>
      </w:r>
      <w:r w:rsidR="0053425B" w:rsidRPr="009139D0">
        <w:rPr>
          <w:sz w:val="20"/>
          <w:szCs w:val="20"/>
        </w:rPr>
        <w:t xml:space="preserve">per academic </w:t>
      </w:r>
      <w:r w:rsidRPr="009139D0">
        <w:rPr>
          <w:sz w:val="20"/>
          <w:szCs w:val="20"/>
        </w:rPr>
        <w:t xml:space="preserve">across the </w:t>
      </w:r>
      <w:r w:rsidR="0053425B" w:rsidRPr="009139D0">
        <w:rPr>
          <w:sz w:val="20"/>
          <w:szCs w:val="20"/>
        </w:rPr>
        <w:t>School.</w:t>
      </w:r>
    </w:p>
    <w:p w14:paraId="76E1120D" w14:textId="31512E90" w:rsidR="00B46ED9" w:rsidRPr="00CB3503" w:rsidRDefault="00B46ED9" w:rsidP="00B46ED9">
      <w:pPr>
        <w:rPr>
          <w:sz w:val="20"/>
          <w:szCs w:val="20"/>
        </w:rPr>
      </w:pPr>
      <w:r w:rsidRPr="009139D0">
        <w:rPr>
          <w:sz w:val="20"/>
          <w:szCs w:val="20"/>
        </w:rPr>
        <w:t xml:space="preserve">7.     </w:t>
      </w:r>
      <w:r w:rsidR="00383B7F" w:rsidRPr="009139D0">
        <w:rPr>
          <w:sz w:val="20"/>
          <w:szCs w:val="20"/>
        </w:rPr>
        <w:t xml:space="preserve">In this (2016-2018) LREM, research points from publications are </w:t>
      </w:r>
      <w:r w:rsidR="00383B7F" w:rsidRPr="008C5072">
        <w:rPr>
          <w:i/>
          <w:sz w:val="20"/>
          <w:szCs w:val="20"/>
        </w:rPr>
        <w:t>not</w:t>
      </w:r>
      <w:r w:rsidR="00383B7F" w:rsidRPr="008C5072">
        <w:rPr>
          <w:sz w:val="20"/>
          <w:szCs w:val="20"/>
        </w:rPr>
        <w:t xml:space="preserve"> prorated per researcher</w:t>
      </w:r>
      <w:r w:rsidR="007F6007" w:rsidRPr="008C5072">
        <w:rPr>
          <w:sz w:val="20"/>
          <w:szCs w:val="20"/>
        </w:rPr>
        <w:t xml:space="preserve">, </w:t>
      </w:r>
      <w:r w:rsidR="006D08C0" w:rsidRPr="00CB3503">
        <w:rPr>
          <w:sz w:val="20"/>
          <w:szCs w:val="20"/>
        </w:rPr>
        <w:t>for example three co-authors of an article in an A* journal will each get 10 points.</w:t>
      </w:r>
    </w:p>
    <w:p w14:paraId="337E69BF" w14:textId="77777777" w:rsidR="00383B7F" w:rsidRPr="003B2491" w:rsidRDefault="00383B7F" w:rsidP="00383B7F">
      <w:pPr>
        <w:rPr>
          <w:sz w:val="20"/>
          <w:szCs w:val="20"/>
        </w:rPr>
      </w:pPr>
      <w:r w:rsidRPr="003B2491">
        <w:rPr>
          <w:sz w:val="20"/>
          <w:szCs w:val="20"/>
        </w:rPr>
        <w:lastRenderedPageBreak/>
        <w:t xml:space="preserve">8.     Category 1, 2, 3 and 4 research income in a calendar year can be used to contribute to research points for staff as follows: </w:t>
      </w:r>
      <w:r w:rsidRPr="003B2491">
        <w:rPr>
          <w:sz w:val="20"/>
          <w:szCs w:val="20"/>
          <w:lang w:val="en-US"/>
        </w:rPr>
        <w:t>Cat 1 &amp; 4: 1 point = $6,666; Cat 2 &amp; 3: 1 point = $8,000.</w:t>
      </w:r>
    </w:p>
    <w:p w14:paraId="13AB82F4" w14:textId="77777777" w:rsidR="00B46ED9" w:rsidRPr="009139D0" w:rsidRDefault="00383B7F" w:rsidP="00383B7F">
      <w:pPr>
        <w:rPr>
          <w:sz w:val="20"/>
          <w:szCs w:val="20"/>
        </w:rPr>
      </w:pPr>
      <w:r w:rsidRPr="009139D0">
        <w:rPr>
          <w:sz w:val="20"/>
          <w:szCs w:val="20"/>
        </w:rPr>
        <w:t>9.</w:t>
      </w:r>
      <w:r w:rsidR="00B46ED9" w:rsidRPr="009139D0">
        <w:rPr>
          <w:sz w:val="20"/>
          <w:szCs w:val="20"/>
        </w:rPr>
        <w:t xml:space="preserve">    </w:t>
      </w:r>
      <w:r w:rsidRPr="009139D0">
        <w:rPr>
          <w:sz w:val="20"/>
          <w:szCs w:val="20"/>
        </w:rPr>
        <w:t xml:space="preserve">Each HDR completion in a calendar year can be used to contribute to research points by 3 points per completion (on a geometric supervisor pro rata, such that in the case of two </w:t>
      </w:r>
    </w:p>
    <w:p w14:paraId="35CB97D1" w14:textId="77777777" w:rsidR="00383B7F" w:rsidRPr="009139D0" w:rsidRDefault="00B46ED9" w:rsidP="003B2491">
      <w:pPr>
        <w:ind w:left="284" w:hanging="284"/>
        <w:rPr>
          <w:sz w:val="20"/>
          <w:szCs w:val="20"/>
        </w:rPr>
      </w:pPr>
      <w:r w:rsidRPr="009139D0">
        <w:rPr>
          <w:sz w:val="20"/>
          <w:szCs w:val="20"/>
        </w:rPr>
        <w:t xml:space="preserve">        </w:t>
      </w:r>
      <w:r w:rsidR="00383B7F" w:rsidRPr="009139D0">
        <w:rPr>
          <w:sz w:val="20"/>
          <w:szCs w:val="20"/>
        </w:rPr>
        <w:t>supervisors: principal supervisor 0.8, associate supervisor 0.67, or for 3 supervisors, 0.75, 0.67 and 0.67.</w:t>
      </w:r>
    </w:p>
    <w:p w14:paraId="3D7098ED" w14:textId="5766F7B1" w:rsidR="00383B7F" w:rsidRPr="009139D0" w:rsidRDefault="00383B7F" w:rsidP="003B2491">
      <w:pPr>
        <w:ind w:left="284" w:hanging="284"/>
        <w:rPr>
          <w:sz w:val="20"/>
          <w:szCs w:val="20"/>
        </w:rPr>
      </w:pPr>
      <w:r w:rsidRPr="009139D0">
        <w:rPr>
          <w:sz w:val="20"/>
          <w:szCs w:val="20"/>
        </w:rPr>
        <w:t>10.</w:t>
      </w:r>
      <w:r w:rsidR="00B46ED9" w:rsidRPr="009139D0">
        <w:rPr>
          <w:sz w:val="20"/>
          <w:szCs w:val="20"/>
        </w:rPr>
        <w:t xml:space="preserve">  </w:t>
      </w:r>
      <w:r w:rsidRPr="009139D0">
        <w:rPr>
          <w:sz w:val="20"/>
          <w:szCs w:val="20"/>
        </w:rPr>
        <w:t xml:space="preserve">The Director of Research, in consultation with the Research Committee has discretion to allocate points to publications and research output that fall outside </w:t>
      </w:r>
      <w:r w:rsidR="009139D0" w:rsidRPr="009139D0">
        <w:rPr>
          <w:sz w:val="20"/>
          <w:szCs w:val="20"/>
        </w:rPr>
        <w:t>the above framework.   The DLS rec</w:t>
      </w:r>
      <w:r w:rsidR="009139D0" w:rsidRPr="008C5072">
        <w:rPr>
          <w:sz w:val="20"/>
          <w:szCs w:val="20"/>
        </w:rPr>
        <w:t>ognises the</w:t>
      </w:r>
      <w:r w:rsidR="009139D0" w:rsidRPr="00CB3503">
        <w:rPr>
          <w:sz w:val="20"/>
          <w:szCs w:val="20"/>
        </w:rPr>
        <w:t xml:space="preserve"> impact of non-HERDC outputs on its national and international standing, for example of high quality non-research books, including further editions, of edited research books and of organising conferences and symposia. Such contributions would be supported within this framework and will be considered in conjunction with any service allocations determined by the Head of School. Such outputs would be discussed, where possible in advance, on </w:t>
      </w:r>
      <w:r w:rsidRPr="00CB3503">
        <w:rPr>
          <w:sz w:val="20"/>
          <w:szCs w:val="20"/>
        </w:rPr>
        <w:t>a case-by-case basis in accordance with the School strategy and relative to an individual’s performance profile</w:t>
      </w:r>
      <w:r w:rsidR="009139D0" w:rsidRPr="00CB3503">
        <w:rPr>
          <w:sz w:val="20"/>
          <w:szCs w:val="20"/>
        </w:rPr>
        <w:t xml:space="preserve">. </w:t>
      </w:r>
      <w:r w:rsidR="009139D0">
        <w:rPr>
          <w:sz w:val="20"/>
          <w:szCs w:val="20"/>
        </w:rPr>
        <w:t>A</w:t>
      </w:r>
      <w:r w:rsidRPr="009139D0">
        <w:rPr>
          <w:sz w:val="20"/>
          <w:szCs w:val="20"/>
        </w:rPr>
        <w:t xml:space="preserve">dditional points </w:t>
      </w:r>
      <w:r w:rsidR="009139D0">
        <w:rPr>
          <w:sz w:val="20"/>
          <w:szCs w:val="20"/>
        </w:rPr>
        <w:t xml:space="preserve">may be allocated </w:t>
      </w:r>
      <w:r w:rsidRPr="009139D0">
        <w:rPr>
          <w:sz w:val="20"/>
          <w:szCs w:val="20"/>
        </w:rPr>
        <w:t xml:space="preserve">to publications and or concrete examples of research innovation or outputs impacting the communities served by DLS in accordance with the University and Faculty mission and strategy. </w:t>
      </w:r>
    </w:p>
    <w:p w14:paraId="23A797BD" w14:textId="77777777" w:rsidR="006D08C0" w:rsidRPr="003B2491" w:rsidRDefault="006D08C0" w:rsidP="003B2491">
      <w:pPr>
        <w:rPr>
          <w:sz w:val="20"/>
          <w:szCs w:val="20"/>
        </w:rPr>
      </w:pPr>
    </w:p>
    <w:p w14:paraId="6F74E6C1" w14:textId="77777777" w:rsidR="00383B7F" w:rsidRDefault="00383B7F" w:rsidP="00383B7F">
      <w:pPr>
        <w:pStyle w:val="ListParagraph"/>
        <w:ind w:left="360"/>
        <w:rPr>
          <w:sz w:val="20"/>
          <w:szCs w:val="20"/>
        </w:rPr>
      </w:pPr>
    </w:p>
    <w:p w14:paraId="198E2E3B" w14:textId="77777777" w:rsidR="00383B7F" w:rsidRDefault="00383B7F" w:rsidP="00383B7F">
      <w:pPr>
        <w:pStyle w:val="ListParagraph"/>
        <w:ind w:left="360"/>
        <w:rPr>
          <w:sz w:val="20"/>
          <w:szCs w:val="20"/>
        </w:rPr>
      </w:pPr>
    </w:p>
    <w:p w14:paraId="7E90586F" w14:textId="77777777" w:rsidR="00383B7F" w:rsidRPr="00090433" w:rsidRDefault="00383B7F" w:rsidP="00383B7F">
      <w:pPr>
        <w:pStyle w:val="ListParagraph"/>
        <w:ind w:left="360"/>
        <w:rPr>
          <w:sz w:val="20"/>
          <w:szCs w:val="20"/>
          <w:u w:val="single"/>
        </w:rPr>
      </w:pPr>
      <w:r w:rsidRPr="00090433">
        <w:rPr>
          <w:sz w:val="20"/>
          <w:szCs w:val="20"/>
          <w:u w:val="single"/>
        </w:rPr>
        <w:t>Snapshot of a three-year block</w:t>
      </w:r>
    </w:p>
    <w:p w14:paraId="029D93B6" w14:textId="77777777" w:rsidR="00383B7F" w:rsidRPr="00090433" w:rsidRDefault="00383B7F" w:rsidP="00383B7F">
      <w:pPr>
        <w:pStyle w:val="ListParagraph"/>
        <w:ind w:left="360"/>
        <w:rPr>
          <w:sz w:val="20"/>
          <w:szCs w:val="20"/>
        </w:rPr>
      </w:pPr>
    </w:p>
    <w:tbl>
      <w:tblPr>
        <w:tblStyle w:val="TableGrid"/>
        <w:tblW w:w="0" w:type="auto"/>
        <w:tblLook w:val="04A0" w:firstRow="1" w:lastRow="0" w:firstColumn="1" w:lastColumn="0" w:noHBand="0" w:noVBand="1"/>
      </w:tblPr>
      <w:tblGrid>
        <w:gridCol w:w="3544"/>
        <w:gridCol w:w="3544"/>
        <w:gridCol w:w="3544"/>
        <w:gridCol w:w="3544"/>
      </w:tblGrid>
      <w:tr w:rsidR="00383B7F" w:rsidRPr="00090433" w14:paraId="45E1A5B2" w14:textId="77777777" w:rsidTr="003C6045">
        <w:tc>
          <w:tcPr>
            <w:tcW w:w="3544" w:type="dxa"/>
          </w:tcPr>
          <w:p w14:paraId="72386A7B" w14:textId="77777777" w:rsidR="00383B7F" w:rsidRPr="00090433" w:rsidRDefault="00383B7F" w:rsidP="00383B7F">
            <w:pPr>
              <w:pStyle w:val="ListParagraph"/>
              <w:ind w:left="360"/>
              <w:rPr>
                <w:sz w:val="20"/>
                <w:szCs w:val="20"/>
              </w:rPr>
            </w:pPr>
          </w:p>
        </w:tc>
        <w:tc>
          <w:tcPr>
            <w:tcW w:w="3544" w:type="dxa"/>
          </w:tcPr>
          <w:p w14:paraId="7959E7D2" w14:textId="77777777" w:rsidR="00383B7F" w:rsidRPr="00090433" w:rsidRDefault="00383B7F" w:rsidP="00383B7F">
            <w:pPr>
              <w:pStyle w:val="ListParagraph"/>
              <w:ind w:left="360"/>
              <w:rPr>
                <w:sz w:val="20"/>
                <w:szCs w:val="20"/>
              </w:rPr>
            </w:pPr>
            <w:r w:rsidRPr="00090433">
              <w:rPr>
                <w:sz w:val="20"/>
                <w:szCs w:val="20"/>
              </w:rPr>
              <w:t>20% research allocation</w:t>
            </w:r>
          </w:p>
        </w:tc>
        <w:tc>
          <w:tcPr>
            <w:tcW w:w="3544" w:type="dxa"/>
          </w:tcPr>
          <w:p w14:paraId="091F4CDE" w14:textId="77777777" w:rsidR="00383B7F" w:rsidRPr="00090433" w:rsidRDefault="00383B7F" w:rsidP="00383B7F">
            <w:pPr>
              <w:pStyle w:val="ListParagraph"/>
              <w:ind w:left="360"/>
              <w:rPr>
                <w:sz w:val="20"/>
                <w:szCs w:val="20"/>
              </w:rPr>
            </w:pPr>
            <w:r w:rsidRPr="00090433">
              <w:rPr>
                <w:sz w:val="20"/>
                <w:szCs w:val="20"/>
              </w:rPr>
              <w:t>40% research allocation</w:t>
            </w:r>
          </w:p>
        </w:tc>
        <w:tc>
          <w:tcPr>
            <w:tcW w:w="3544" w:type="dxa"/>
            <w:tcBorders>
              <w:top w:val="single" w:sz="4" w:space="0" w:color="auto"/>
              <w:bottom w:val="single" w:sz="4" w:space="0" w:color="auto"/>
              <w:right w:val="single" w:sz="4" w:space="0" w:color="auto"/>
            </w:tcBorders>
          </w:tcPr>
          <w:p w14:paraId="10D49194" w14:textId="77777777" w:rsidR="00383B7F" w:rsidRPr="00090433" w:rsidRDefault="00383B7F" w:rsidP="00383B7F">
            <w:pPr>
              <w:pStyle w:val="ListParagraph"/>
              <w:ind w:left="360"/>
              <w:rPr>
                <w:sz w:val="20"/>
                <w:szCs w:val="20"/>
              </w:rPr>
            </w:pPr>
            <w:r w:rsidRPr="00090433">
              <w:rPr>
                <w:sz w:val="20"/>
                <w:szCs w:val="20"/>
              </w:rPr>
              <w:t>60% research allocation*</w:t>
            </w:r>
          </w:p>
        </w:tc>
      </w:tr>
      <w:tr w:rsidR="00383B7F" w:rsidRPr="00090433" w14:paraId="015ACDE8" w14:textId="77777777" w:rsidTr="003C6045">
        <w:tc>
          <w:tcPr>
            <w:tcW w:w="3544" w:type="dxa"/>
          </w:tcPr>
          <w:p w14:paraId="7C9E69B7" w14:textId="77777777" w:rsidR="00383B7F" w:rsidRPr="00090433" w:rsidRDefault="00383B7F" w:rsidP="00383B7F">
            <w:pPr>
              <w:pStyle w:val="ListParagraph"/>
              <w:ind w:left="360"/>
              <w:rPr>
                <w:sz w:val="20"/>
                <w:szCs w:val="20"/>
              </w:rPr>
            </w:pPr>
            <w:r w:rsidRPr="00090433">
              <w:rPr>
                <w:sz w:val="20"/>
                <w:szCs w:val="20"/>
              </w:rPr>
              <w:t>Level A research points</w:t>
            </w:r>
          </w:p>
        </w:tc>
        <w:tc>
          <w:tcPr>
            <w:tcW w:w="3544" w:type="dxa"/>
          </w:tcPr>
          <w:p w14:paraId="644A7954" w14:textId="42B1AE03" w:rsidR="00383B7F" w:rsidRPr="00090433" w:rsidRDefault="00225D4E" w:rsidP="00383B7F">
            <w:pPr>
              <w:pStyle w:val="ListParagraph"/>
              <w:ind w:left="360"/>
              <w:rPr>
                <w:sz w:val="20"/>
                <w:szCs w:val="20"/>
              </w:rPr>
            </w:pPr>
            <w:r>
              <w:rPr>
                <w:sz w:val="20"/>
                <w:szCs w:val="20"/>
              </w:rPr>
              <w:t>4.5</w:t>
            </w:r>
          </w:p>
        </w:tc>
        <w:tc>
          <w:tcPr>
            <w:tcW w:w="3544" w:type="dxa"/>
          </w:tcPr>
          <w:p w14:paraId="181D826E" w14:textId="4EE43755" w:rsidR="00383B7F" w:rsidRPr="00090433" w:rsidRDefault="00225D4E" w:rsidP="00383B7F">
            <w:pPr>
              <w:pStyle w:val="ListParagraph"/>
              <w:ind w:left="360"/>
              <w:rPr>
                <w:sz w:val="20"/>
                <w:szCs w:val="20"/>
              </w:rPr>
            </w:pPr>
            <w:r>
              <w:rPr>
                <w:sz w:val="20"/>
                <w:szCs w:val="20"/>
              </w:rPr>
              <w:t>9</w:t>
            </w:r>
          </w:p>
        </w:tc>
        <w:tc>
          <w:tcPr>
            <w:tcW w:w="3544" w:type="dxa"/>
            <w:tcBorders>
              <w:top w:val="single" w:sz="4" w:space="0" w:color="auto"/>
              <w:bottom w:val="single" w:sz="4" w:space="0" w:color="auto"/>
              <w:right w:val="single" w:sz="4" w:space="0" w:color="auto"/>
            </w:tcBorders>
          </w:tcPr>
          <w:p w14:paraId="3F21738D" w14:textId="31513F42" w:rsidR="00383B7F" w:rsidRPr="00090433" w:rsidRDefault="00225D4E" w:rsidP="00383B7F">
            <w:pPr>
              <w:pStyle w:val="ListParagraph"/>
              <w:ind w:left="360"/>
              <w:rPr>
                <w:sz w:val="20"/>
                <w:szCs w:val="20"/>
              </w:rPr>
            </w:pPr>
            <w:r>
              <w:rPr>
                <w:sz w:val="20"/>
                <w:szCs w:val="20"/>
              </w:rPr>
              <w:t>13.5</w:t>
            </w:r>
          </w:p>
        </w:tc>
      </w:tr>
      <w:tr w:rsidR="00383B7F" w:rsidRPr="00090433" w14:paraId="0A1B2742" w14:textId="77777777" w:rsidTr="003C6045">
        <w:tc>
          <w:tcPr>
            <w:tcW w:w="3544" w:type="dxa"/>
          </w:tcPr>
          <w:p w14:paraId="1399DD0E" w14:textId="77777777" w:rsidR="00383B7F" w:rsidRPr="00090433" w:rsidRDefault="00383B7F" w:rsidP="00383B7F">
            <w:pPr>
              <w:pStyle w:val="ListParagraph"/>
              <w:ind w:left="360"/>
              <w:rPr>
                <w:sz w:val="20"/>
                <w:szCs w:val="20"/>
              </w:rPr>
            </w:pPr>
            <w:r w:rsidRPr="00090433">
              <w:rPr>
                <w:sz w:val="20"/>
                <w:szCs w:val="20"/>
              </w:rPr>
              <w:t>Level B research points</w:t>
            </w:r>
          </w:p>
        </w:tc>
        <w:tc>
          <w:tcPr>
            <w:tcW w:w="3544" w:type="dxa"/>
          </w:tcPr>
          <w:p w14:paraId="10C2162A" w14:textId="07D5C316" w:rsidR="00383B7F" w:rsidRPr="00090433" w:rsidRDefault="00225D4E" w:rsidP="00383B7F">
            <w:pPr>
              <w:pStyle w:val="ListParagraph"/>
              <w:ind w:left="360"/>
              <w:rPr>
                <w:sz w:val="20"/>
                <w:szCs w:val="20"/>
              </w:rPr>
            </w:pPr>
            <w:r>
              <w:rPr>
                <w:sz w:val="20"/>
                <w:szCs w:val="20"/>
              </w:rPr>
              <w:t>6.75</w:t>
            </w:r>
          </w:p>
        </w:tc>
        <w:tc>
          <w:tcPr>
            <w:tcW w:w="3544" w:type="dxa"/>
          </w:tcPr>
          <w:p w14:paraId="00D91175" w14:textId="5DE30DCD" w:rsidR="00383B7F" w:rsidRPr="00090433" w:rsidRDefault="00225D4E" w:rsidP="00383B7F">
            <w:pPr>
              <w:pStyle w:val="ListParagraph"/>
              <w:ind w:left="360"/>
              <w:rPr>
                <w:sz w:val="20"/>
                <w:szCs w:val="20"/>
              </w:rPr>
            </w:pPr>
            <w:r>
              <w:rPr>
                <w:sz w:val="20"/>
                <w:szCs w:val="20"/>
              </w:rPr>
              <w:t>13.5</w:t>
            </w:r>
          </w:p>
        </w:tc>
        <w:tc>
          <w:tcPr>
            <w:tcW w:w="3544" w:type="dxa"/>
            <w:tcBorders>
              <w:top w:val="single" w:sz="4" w:space="0" w:color="auto"/>
              <w:bottom w:val="single" w:sz="4" w:space="0" w:color="auto"/>
              <w:right w:val="single" w:sz="4" w:space="0" w:color="auto"/>
            </w:tcBorders>
          </w:tcPr>
          <w:p w14:paraId="227F5636" w14:textId="1D60913F" w:rsidR="00383B7F" w:rsidRPr="00090433" w:rsidRDefault="00225D4E" w:rsidP="00383B7F">
            <w:pPr>
              <w:pStyle w:val="ListParagraph"/>
              <w:ind w:left="360"/>
              <w:rPr>
                <w:sz w:val="20"/>
                <w:szCs w:val="20"/>
              </w:rPr>
            </w:pPr>
            <w:r>
              <w:rPr>
                <w:sz w:val="20"/>
                <w:szCs w:val="20"/>
              </w:rPr>
              <w:t>20.25</w:t>
            </w:r>
          </w:p>
        </w:tc>
      </w:tr>
      <w:tr w:rsidR="00383B7F" w:rsidRPr="00090433" w14:paraId="279A5535" w14:textId="77777777" w:rsidTr="003C6045">
        <w:tc>
          <w:tcPr>
            <w:tcW w:w="3544" w:type="dxa"/>
          </w:tcPr>
          <w:p w14:paraId="4EBDB6D6" w14:textId="77777777" w:rsidR="00383B7F" w:rsidRPr="00090433" w:rsidRDefault="00383B7F" w:rsidP="00383B7F">
            <w:pPr>
              <w:pStyle w:val="ListParagraph"/>
              <w:ind w:left="360"/>
              <w:rPr>
                <w:sz w:val="20"/>
                <w:szCs w:val="20"/>
              </w:rPr>
            </w:pPr>
            <w:r w:rsidRPr="00090433">
              <w:rPr>
                <w:sz w:val="20"/>
                <w:szCs w:val="20"/>
              </w:rPr>
              <w:t>Level C research points</w:t>
            </w:r>
          </w:p>
        </w:tc>
        <w:tc>
          <w:tcPr>
            <w:tcW w:w="3544" w:type="dxa"/>
          </w:tcPr>
          <w:p w14:paraId="5F1C21DB" w14:textId="29850796" w:rsidR="00383B7F" w:rsidRPr="00090433" w:rsidRDefault="00225D4E" w:rsidP="00383B7F">
            <w:pPr>
              <w:pStyle w:val="ListParagraph"/>
              <w:ind w:left="360"/>
              <w:rPr>
                <w:sz w:val="20"/>
                <w:szCs w:val="20"/>
              </w:rPr>
            </w:pPr>
            <w:r>
              <w:rPr>
                <w:sz w:val="20"/>
                <w:szCs w:val="20"/>
              </w:rPr>
              <w:t>9</w:t>
            </w:r>
          </w:p>
        </w:tc>
        <w:tc>
          <w:tcPr>
            <w:tcW w:w="3544" w:type="dxa"/>
          </w:tcPr>
          <w:p w14:paraId="554BC0E6" w14:textId="2F5FF111" w:rsidR="00383B7F" w:rsidRPr="00090433" w:rsidRDefault="00225D4E" w:rsidP="00383B7F">
            <w:pPr>
              <w:pStyle w:val="ListParagraph"/>
              <w:ind w:left="360"/>
              <w:rPr>
                <w:sz w:val="20"/>
                <w:szCs w:val="20"/>
              </w:rPr>
            </w:pPr>
            <w:r>
              <w:rPr>
                <w:sz w:val="20"/>
                <w:szCs w:val="20"/>
              </w:rPr>
              <w:t>18</w:t>
            </w:r>
          </w:p>
        </w:tc>
        <w:tc>
          <w:tcPr>
            <w:tcW w:w="3544" w:type="dxa"/>
            <w:tcBorders>
              <w:top w:val="single" w:sz="4" w:space="0" w:color="auto"/>
              <w:bottom w:val="single" w:sz="4" w:space="0" w:color="auto"/>
              <w:right w:val="single" w:sz="4" w:space="0" w:color="auto"/>
            </w:tcBorders>
          </w:tcPr>
          <w:p w14:paraId="56341870" w14:textId="751A70BF" w:rsidR="00383B7F" w:rsidRPr="00090433" w:rsidRDefault="00225D4E" w:rsidP="00383B7F">
            <w:pPr>
              <w:pStyle w:val="ListParagraph"/>
              <w:ind w:left="360"/>
              <w:rPr>
                <w:sz w:val="20"/>
                <w:szCs w:val="20"/>
              </w:rPr>
            </w:pPr>
            <w:r>
              <w:rPr>
                <w:sz w:val="20"/>
                <w:szCs w:val="20"/>
              </w:rPr>
              <w:t>27</w:t>
            </w:r>
          </w:p>
        </w:tc>
      </w:tr>
      <w:tr w:rsidR="00383B7F" w:rsidRPr="00090433" w14:paraId="1C253980" w14:textId="77777777" w:rsidTr="003C6045">
        <w:tc>
          <w:tcPr>
            <w:tcW w:w="3544" w:type="dxa"/>
          </w:tcPr>
          <w:p w14:paraId="66C3A7E5" w14:textId="77777777" w:rsidR="00383B7F" w:rsidRPr="00090433" w:rsidRDefault="00383B7F" w:rsidP="00383B7F">
            <w:pPr>
              <w:pStyle w:val="ListParagraph"/>
              <w:ind w:left="360"/>
              <w:rPr>
                <w:sz w:val="20"/>
                <w:szCs w:val="20"/>
              </w:rPr>
            </w:pPr>
            <w:r w:rsidRPr="00090433">
              <w:rPr>
                <w:sz w:val="20"/>
                <w:szCs w:val="20"/>
              </w:rPr>
              <w:t>Level D research points</w:t>
            </w:r>
          </w:p>
        </w:tc>
        <w:tc>
          <w:tcPr>
            <w:tcW w:w="3544" w:type="dxa"/>
          </w:tcPr>
          <w:p w14:paraId="7B0CEDA1" w14:textId="2FF8B38D" w:rsidR="00383B7F" w:rsidRPr="00090433" w:rsidRDefault="00225D4E" w:rsidP="00383B7F">
            <w:pPr>
              <w:pStyle w:val="ListParagraph"/>
              <w:ind w:left="360"/>
              <w:rPr>
                <w:sz w:val="20"/>
                <w:szCs w:val="20"/>
              </w:rPr>
            </w:pPr>
            <w:r>
              <w:rPr>
                <w:sz w:val="20"/>
                <w:szCs w:val="20"/>
              </w:rPr>
              <w:t>11.25</w:t>
            </w:r>
          </w:p>
        </w:tc>
        <w:tc>
          <w:tcPr>
            <w:tcW w:w="3544" w:type="dxa"/>
          </w:tcPr>
          <w:p w14:paraId="3A0539D7" w14:textId="2960C727" w:rsidR="00383B7F" w:rsidRPr="00090433" w:rsidRDefault="00225D4E" w:rsidP="00383B7F">
            <w:pPr>
              <w:pStyle w:val="ListParagraph"/>
              <w:ind w:left="360"/>
              <w:rPr>
                <w:sz w:val="20"/>
                <w:szCs w:val="20"/>
              </w:rPr>
            </w:pPr>
            <w:r>
              <w:rPr>
                <w:sz w:val="20"/>
                <w:szCs w:val="20"/>
              </w:rPr>
              <w:t>22.5</w:t>
            </w:r>
          </w:p>
        </w:tc>
        <w:tc>
          <w:tcPr>
            <w:tcW w:w="3544" w:type="dxa"/>
            <w:tcBorders>
              <w:top w:val="single" w:sz="4" w:space="0" w:color="auto"/>
              <w:bottom w:val="single" w:sz="4" w:space="0" w:color="auto"/>
              <w:right w:val="single" w:sz="4" w:space="0" w:color="auto"/>
            </w:tcBorders>
          </w:tcPr>
          <w:p w14:paraId="7588CCC9" w14:textId="1C7EDC5D" w:rsidR="00383B7F" w:rsidRPr="00090433" w:rsidRDefault="00225D4E" w:rsidP="00383B7F">
            <w:pPr>
              <w:pStyle w:val="ListParagraph"/>
              <w:ind w:left="360"/>
              <w:rPr>
                <w:sz w:val="20"/>
                <w:szCs w:val="20"/>
              </w:rPr>
            </w:pPr>
            <w:r>
              <w:rPr>
                <w:sz w:val="20"/>
                <w:szCs w:val="20"/>
              </w:rPr>
              <w:t>33.75</w:t>
            </w:r>
          </w:p>
        </w:tc>
      </w:tr>
      <w:tr w:rsidR="00383B7F" w:rsidRPr="00090433" w14:paraId="7BDFA1EC" w14:textId="77777777" w:rsidTr="003C6045">
        <w:tc>
          <w:tcPr>
            <w:tcW w:w="3544" w:type="dxa"/>
          </w:tcPr>
          <w:p w14:paraId="5B1BAE5A" w14:textId="77777777" w:rsidR="00383B7F" w:rsidRPr="00090433" w:rsidRDefault="00383B7F" w:rsidP="00383B7F">
            <w:pPr>
              <w:pStyle w:val="ListParagraph"/>
              <w:ind w:left="360"/>
              <w:rPr>
                <w:sz w:val="20"/>
                <w:szCs w:val="20"/>
              </w:rPr>
            </w:pPr>
            <w:r w:rsidRPr="00090433">
              <w:rPr>
                <w:sz w:val="20"/>
                <w:szCs w:val="20"/>
              </w:rPr>
              <w:t>Level E research points</w:t>
            </w:r>
          </w:p>
        </w:tc>
        <w:tc>
          <w:tcPr>
            <w:tcW w:w="3544" w:type="dxa"/>
          </w:tcPr>
          <w:p w14:paraId="4FFC9E24" w14:textId="32D29F72" w:rsidR="00383B7F" w:rsidRPr="00090433" w:rsidRDefault="00225D4E" w:rsidP="00383B7F">
            <w:pPr>
              <w:pStyle w:val="ListParagraph"/>
              <w:ind w:left="360"/>
              <w:rPr>
                <w:sz w:val="20"/>
                <w:szCs w:val="20"/>
              </w:rPr>
            </w:pPr>
            <w:r>
              <w:rPr>
                <w:sz w:val="20"/>
                <w:szCs w:val="20"/>
              </w:rPr>
              <w:t>13.5</w:t>
            </w:r>
          </w:p>
        </w:tc>
        <w:tc>
          <w:tcPr>
            <w:tcW w:w="3544" w:type="dxa"/>
          </w:tcPr>
          <w:p w14:paraId="294BB70D" w14:textId="75140154" w:rsidR="00383B7F" w:rsidRPr="00090433" w:rsidRDefault="00225D4E" w:rsidP="00383B7F">
            <w:pPr>
              <w:pStyle w:val="ListParagraph"/>
              <w:ind w:left="360"/>
              <w:rPr>
                <w:sz w:val="20"/>
                <w:szCs w:val="20"/>
              </w:rPr>
            </w:pPr>
            <w:r>
              <w:rPr>
                <w:sz w:val="20"/>
                <w:szCs w:val="20"/>
              </w:rPr>
              <w:t>27</w:t>
            </w:r>
          </w:p>
        </w:tc>
        <w:tc>
          <w:tcPr>
            <w:tcW w:w="3544" w:type="dxa"/>
            <w:tcBorders>
              <w:top w:val="single" w:sz="4" w:space="0" w:color="auto"/>
              <w:bottom w:val="single" w:sz="4" w:space="0" w:color="auto"/>
              <w:right w:val="single" w:sz="4" w:space="0" w:color="auto"/>
            </w:tcBorders>
          </w:tcPr>
          <w:p w14:paraId="58BA3DBF" w14:textId="0AB84F7C" w:rsidR="00383B7F" w:rsidRPr="00090433" w:rsidRDefault="00225D4E" w:rsidP="00383B7F">
            <w:pPr>
              <w:pStyle w:val="ListParagraph"/>
              <w:ind w:left="360"/>
              <w:rPr>
                <w:sz w:val="20"/>
                <w:szCs w:val="20"/>
              </w:rPr>
            </w:pPr>
            <w:r>
              <w:rPr>
                <w:sz w:val="20"/>
                <w:szCs w:val="20"/>
              </w:rPr>
              <w:t>40.5</w:t>
            </w:r>
          </w:p>
        </w:tc>
      </w:tr>
    </w:tbl>
    <w:p w14:paraId="255C1701" w14:textId="77777777" w:rsidR="00383B7F" w:rsidRPr="00090433" w:rsidRDefault="00383B7F" w:rsidP="00383B7F">
      <w:pPr>
        <w:pStyle w:val="ListParagraph"/>
        <w:ind w:left="360"/>
        <w:rPr>
          <w:sz w:val="20"/>
          <w:szCs w:val="20"/>
        </w:rPr>
      </w:pPr>
    </w:p>
    <w:p w14:paraId="58EB35A9" w14:textId="77777777" w:rsidR="00383B7F" w:rsidRPr="00090433" w:rsidRDefault="00383B7F" w:rsidP="00383B7F">
      <w:pPr>
        <w:pStyle w:val="ListParagraph"/>
        <w:ind w:left="360"/>
        <w:rPr>
          <w:sz w:val="20"/>
          <w:szCs w:val="20"/>
        </w:rPr>
      </w:pPr>
    </w:p>
    <w:p w14:paraId="52768C5B" w14:textId="77777777" w:rsidR="00383B7F" w:rsidRPr="004504BD" w:rsidRDefault="00383B7F" w:rsidP="00383B7F">
      <w:pPr>
        <w:pStyle w:val="ListParagraph"/>
        <w:ind w:left="360"/>
        <w:rPr>
          <w:color w:val="0D0D0D" w:themeColor="text1" w:themeTint="F2"/>
          <w:sz w:val="20"/>
          <w:szCs w:val="20"/>
        </w:rPr>
      </w:pPr>
      <w:r w:rsidRPr="00090433">
        <w:rPr>
          <w:b/>
          <w:i/>
          <w:sz w:val="20"/>
          <w:szCs w:val="20"/>
          <w:u w:val="single"/>
        </w:rPr>
        <w:t>Indicative</w:t>
      </w:r>
      <w:r w:rsidRPr="00090433">
        <w:rPr>
          <w:sz w:val="20"/>
          <w:szCs w:val="20"/>
          <w:u w:val="single"/>
        </w:rPr>
        <w:t xml:space="preserve"> outputs in a three year snapshot</w:t>
      </w:r>
      <w:r w:rsidRPr="00090433">
        <w:rPr>
          <w:sz w:val="20"/>
          <w:szCs w:val="20"/>
        </w:rPr>
        <w:t xml:space="preserve"> (based on C1</w:t>
      </w:r>
      <w:r w:rsidR="00D61033">
        <w:rPr>
          <w:sz w:val="20"/>
          <w:szCs w:val="20"/>
        </w:rPr>
        <w:t xml:space="preserve"> A </w:t>
      </w:r>
      <w:r w:rsidRPr="00090433">
        <w:rPr>
          <w:sz w:val="20"/>
          <w:szCs w:val="20"/>
        </w:rPr>
        <w:t>s; other output combinations are feasible within the framework)</w:t>
      </w:r>
    </w:p>
    <w:p w14:paraId="28F3517B" w14:textId="77777777" w:rsidR="00383B7F" w:rsidRPr="004504BD" w:rsidRDefault="00383B7F" w:rsidP="00383B7F">
      <w:pPr>
        <w:pStyle w:val="ListParagraph"/>
        <w:ind w:left="360"/>
        <w:rPr>
          <w:color w:val="0D0D0D" w:themeColor="text1" w:themeTint="F2"/>
          <w:sz w:val="20"/>
          <w:szCs w:val="20"/>
        </w:rPr>
      </w:pPr>
    </w:p>
    <w:tbl>
      <w:tblPr>
        <w:tblStyle w:val="TableGrid"/>
        <w:tblW w:w="0" w:type="auto"/>
        <w:tblLook w:val="04A0" w:firstRow="1" w:lastRow="0" w:firstColumn="1" w:lastColumn="0" w:noHBand="0" w:noVBand="1"/>
      </w:tblPr>
      <w:tblGrid>
        <w:gridCol w:w="3544"/>
        <w:gridCol w:w="3544"/>
        <w:gridCol w:w="3544"/>
        <w:gridCol w:w="3544"/>
      </w:tblGrid>
      <w:tr w:rsidR="004504BD" w:rsidRPr="004504BD" w14:paraId="4EB64A32" w14:textId="074DAF57" w:rsidTr="00AC315A">
        <w:tc>
          <w:tcPr>
            <w:tcW w:w="3544" w:type="dxa"/>
          </w:tcPr>
          <w:p w14:paraId="1989AE08" w14:textId="77777777" w:rsidR="004504BD" w:rsidRPr="004504BD" w:rsidRDefault="004504BD" w:rsidP="00383B7F">
            <w:pPr>
              <w:pStyle w:val="ListParagraph"/>
              <w:ind w:left="360"/>
              <w:rPr>
                <w:color w:val="0D0D0D" w:themeColor="text1" w:themeTint="F2"/>
                <w:sz w:val="20"/>
                <w:szCs w:val="20"/>
              </w:rPr>
            </w:pPr>
          </w:p>
        </w:tc>
        <w:tc>
          <w:tcPr>
            <w:tcW w:w="3544" w:type="dxa"/>
          </w:tcPr>
          <w:p w14:paraId="51E63449" w14:textId="4373C914"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20%</w:t>
            </w:r>
          </w:p>
        </w:tc>
        <w:tc>
          <w:tcPr>
            <w:tcW w:w="3544" w:type="dxa"/>
          </w:tcPr>
          <w:p w14:paraId="0770A406" w14:textId="77777777"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40% research allocation</w:t>
            </w:r>
          </w:p>
        </w:tc>
        <w:tc>
          <w:tcPr>
            <w:tcW w:w="3544" w:type="dxa"/>
          </w:tcPr>
          <w:p w14:paraId="4A4C46B7" w14:textId="2EF860EE" w:rsidR="004504BD" w:rsidRPr="004504BD" w:rsidRDefault="004504BD" w:rsidP="00383B7F">
            <w:pPr>
              <w:pStyle w:val="ListParagraph"/>
              <w:ind w:left="360"/>
              <w:rPr>
                <w:color w:val="0D0D0D" w:themeColor="text1" w:themeTint="F2"/>
                <w:sz w:val="20"/>
                <w:szCs w:val="20"/>
              </w:rPr>
            </w:pPr>
            <w:r w:rsidRPr="00090433">
              <w:rPr>
                <w:sz w:val="20"/>
                <w:szCs w:val="20"/>
              </w:rPr>
              <w:t>60% research allocation*</w:t>
            </w:r>
          </w:p>
        </w:tc>
      </w:tr>
      <w:tr w:rsidR="004504BD" w:rsidRPr="004504BD" w14:paraId="2F89A791" w14:textId="6B41B777" w:rsidTr="00AC315A">
        <w:tc>
          <w:tcPr>
            <w:tcW w:w="3544" w:type="dxa"/>
          </w:tcPr>
          <w:p w14:paraId="4249476A" w14:textId="77777777"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Level A research points</w:t>
            </w:r>
          </w:p>
        </w:tc>
        <w:tc>
          <w:tcPr>
            <w:tcW w:w="3544" w:type="dxa"/>
          </w:tcPr>
          <w:p w14:paraId="104592E4" w14:textId="4BF5EDFD"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1 A</w:t>
            </w:r>
          </w:p>
        </w:tc>
        <w:tc>
          <w:tcPr>
            <w:tcW w:w="3544" w:type="dxa"/>
          </w:tcPr>
          <w:p w14:paraId="5820DF16" w14:textId="3EAA8709" w:rsidR="004504BD" w:rsidRPr="004504BD" w:rsidRDefault="00225D4E" w:rsidP="00720C48">
            <w:pPr>
              <w:pStyle w:val="ListParagraph"/>
              <w:ind w:left="360"/>
              <w:rPr>
                <w:color w:val="0D0D0D" w:themeColor="text1" w:themeTint="F2"/>
                <w:sz w:val="20"/>
                <w:szCs w:val="20"/>
              </w:rPr>
            </w:pPr>
            <w:r>
              <w:rPr>
                <w:color w:val="0D0D0D" w:themeColor="text1" w:themeTint="F2"/>
                <w:sz w:val="20"/>
                <w:szCs w:val="20"/>
              </w:rPr>
              <w:t>1.5A</w:t>
            </w:r>
          </w:p>
        </w:tc>
        <w:tc>
          <w:tcPr>
            <w:tcW w:w="3544" w:type="dxa"/>
          </w:tcPr>
          <w:p w14:paraId="53283A07" w14:textId="3117AAB5" w:rsidR="004504BD" w:rsidRPr="004504BD" w:rsidRDefault="00225D4E" w:rsidP="00720C48">
            <w:pPr>
              <w:pStyle w:val="ListParagraph"/>
              <w:ind w:left="360"/>
              <w:rPr>
                <w:color w:val="0D0D0D" w:themeColor="text1" w:themeTint="F2"/>
                <w:sz w:val="20"/>
                <w:szCs w:val="20"/>
              </w:rPr>
            </w:pPr>
            <w:r>
              <w:rPr>
                <w:color w:val="0D0D0D" w:themeColor="text1" w:themeTint="F2"/>
                <w:sz w:val="20"/>
                <w:szCs w:val="20"/>
              </w:rPr>
              <w:t>2.5A</w:t>
            </w:r>
          </w:p>
        </w:tc>
      </w:tr>
      <w:tr w:rsidR="004504BD" w:rsidRPr="004504BD" w14:paraId="4A075F32" w14:textId="49470AAA" w:rsidTr="00AC315A">
        <w:tc>
          <w:tcPr>
            <w:tcW w:w="3544" w:type="dxa"/>
          </w:tcPr>
          <w:p w14:paraId="4EEE2C2F" w14:textId="77777777"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Level B research points</w:t>
            </w:r>
          </w:p>
        </w:tc>
        <w:tc>
          <w:tcPr>
            <w:tcW w:w="3544" w:type="dxa"/>
          </w:tcPr>
          <w:p w14:paraId="2221EC61" w14:textId="34B7E810"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1.5 A</w:t>
            </w:r>
          </w:p>
        </w:tc>
        <w:tc>
          <w:tcPr>
            <w:tcW w:w="3544" w:type="dxa"/>
          </w:tcPr>
          <w:p w14:paraId="0A760EE5" w14:textId="253C6A51" w:rsidR="004504BD" w:rsidRPr="004504BD" w:rsidRDefault="00225D4E" w:rsidP="00720C48">
            <w:pPr>
              <w:pStyle w:val="ListParagraph"/>
              <w:ind w:left="360"/>
              <w:rPr>
                <w:color w:val="0D0D0D" w:themeColor="text1" w:themeTint="F2"/>
                <w:sz w:val="20"/>
                <w:szCs w:val="20"/>
              </w:rPr>
            </w:pPr>
            <w:r>
              <w:rPr>
                <w:color w:val="0D0D0D" w:themeColor="text1" w:themeTint="F2"/>
                <w:sz w:val="20"/>
                <w:szCs w:val="20"/>
              </w:rPr>
              <w:t>2.5 A</w:t>
            </w:r>
          </w:p>
        </w:tc>
        <w:tc>
          <w:tcPr>
            <w:tcW w:w="3544" w:type="dxa"/>
          </w:tcPr>
          <w:p w14:paraId="4570F9B8" w14:textId="3DF852F5" w:rsidR="004504BD" w:rsidRPr="004504BD" w:rsidRDefault="00225D4E" w:rsidP="00720C48">
            <w:pPr>
              <w:pStyle w:val="ListParagraph"/>
              <w:ind w:left="360"/>
              <w:rPr>
                <w:color w:val="0D0D0D" w:themeColor="text1" w:themeTint="F2"/>
                <w:sz w:val="20"/>
                <w:szCs w:val="20"/>
              </w:rPr>
            </w:pPr>
            <w:r>
              <w:rPr>
                <w:color w:val="0D0D0D" w:themeColor="text1" w:themeTint="F2"/>
                <w:sz w:val="20"/>
                <w:szCs w:val="20"/>
              </w:rPr>
              <w:t>3.5A</w:t>
            </w:r>
          </w:p>
        </w:tc>
      </w:tr>
      <w:tr w:rsidR="004504BD" w:rsidRPr="004504BD" w14:paraId="189ED607" w14:textId="1A28D925" w:rsidTr="00AC315A">
        <w:tc>
          <w:tcPr>
            <w:tcW w:w="3544" w:type="dxa"/>
          </w:tcPr>
          <w:p w14:paraId="17DBCB45" w14:textId="77777777"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Level C research points</w:t>
            </w:r>
          </w:p>
        </w:tc>
        <w:tc>
          <w:tcPr>
            <w:tcW w:w="3544" w:type="dxa"/>
          </w:tcPr>
          <w:p w14:paraId="6611E231" w14:textId="0995C594" w:rsidR="004504BD" w:rsidRPr="004504BD" w:rsidRDefault="00225D4E" w:rsidP="00383B7F">
            <w:pPr>
              <w:pStyle w:val="ListParagraph"/>
              <w:ind w:left="360"/>
              <w:rPr>
                <w:color w:val="0D0D0D" w:themeColor="text1" w:themeTint="F2"/>
                <w:sz w:val="20"/>
                <w:szCs w:val="20"/>
              </w:rPr>
            </w:pPr>
            <w:r>
              <w:rPr>
                <w:color w:val="0D0D0D" w:themeColor="text1" w:themeTint="F2"/>
                <w:sz w:val="20"/>
                <w:szCs w:val="20"/>
              </w:rPr>
              <w:t>1A*</w:t>
            </w:r>
          </w:p>
        </w:tc>
        <w:tc>
          <w:tcPr>
            <w:tcW w:w="3544" w:type="dxa"/>
          </w:tcPr>
          <w:p w14:paraId="571F609E" w14:textId="752D0B8D" w:rsidR="004504BD" w:rsidRPr="004504BD" w:rsidRDefault="00225D4E" w:rsidP="00720C48">
            <w:pPr>
              <w:pStyle w:val="ListParagraph"/>
              <w:ind w:left="360"/>
              <w:rPr>
                <w:color w:val="0D0D0D" w:themeColor="text1" w:themeTint="F2"/>
                <w:sz w:val="20"/>
                <w:szCs w:val="20"/>
              </w:rPr>
            </w:pPr>
            <w:r>
              <w:rPr>
                <w:color w:val="0D0D0D" w:themeColor="text1" w:themeTint="F2"/>
                <w:sz w:val="20"/>
                <w:szCs w:val="20"/>
              </w:rPr>
              <w:t>3A</w:t>
            </w:r>
          </w:p>
        </w:tc>
        <w:tc>
          <w:tcPr>
            <w:tcW w:w="3544" w:type="dxa"/>
          </w:tcPr>
          <w:p w14:paraId="2C1F16FE" w14:textId="00B231EC" w:rsidR="004504BD" w:rsidRPr="004504BD" w:rsidRDefault="00225D4E" w:rsidP="00720C48">
            <w:pPr>
              <w:pStyle w:val="ListParagraph"/>
              <w:ind w:left="360"/>
              <w:rPr>
                <w:color w:val="0D0D0D" w:themeColor="text1" w:themeTint="F2"/>
                <w:sz w:val="20"/>
                <w:szCs w:val="20"/>
              </w:rPr>
            </w:pPr>
            <w:r>
              <w:rPr>
                <w:color w:val="0D0D0D" w:themeColor="text1" w:themeTint="F2"/>
                <w:sz w:val="20"/>
                <w:szCs w:val="20"/>
              </w:rPr>
              <w:t>2A*1.5A</w:t>
            </w:r>
          </w:p>
        </w:tc>
      </w:tr>
      <w:tr w:rsidR="004504BD" w:rsidRPr="004504BD" w14:paraId="56FE2054" w14:textId="3FC1CABE" w:rsidTr="00AC315A">
        <w:tc>
          <w:tcPr>
            <w:tcW w:w="3544" w:type="dxa"/>
          </w:tcPr>
          <w:p w14:paraId="20858E95" w14:textId="77777777"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Level D research points</w:t>
            </w:r>
          </w:p>
        </w:tc>
        <w:tc>
          <w:tcPr>
            <w:tcW w:w="3544" w:type="dxa"/>
          </w:tcPr>
          <w:p w14:paraId="3EBB9AE8" w14:textId="37840DF5" w:rsidR="004504BD" w:rsidRPr="004504BD" w:rsidRDefault="00225D4E" w:rsidP="00383B7F">
            <w:pPr>
              <w:pStyle w:val="ListParagraph"/>
              <w:ind w:left="360"/>
              <w:rPr>
                <w:color w:val="0D0D0D" w:themeColor="text1" w:themeTint="F2"/>
                <w:sz w:val="20"/>
                <w:szCs w:val="20"/>
              </w:rPr>
            </w:pPr>
            <w:r>
              <w:rPr>
                <w:color w:val="0D0D0D" w:themeColor="text1" w:themeTint="F2"/>
                <w:sz w:val="20"/>
                <w:szCs w:val="20"/>
              </w:rPr>
              <w:t>1 A* 1B</w:t>
            </w:r>
          </w:p>
        </w:tc>
        <w:tc>
          <w:tcPr>
            <w:tcW w:w="3544" w:type="dxa"/>
          </w:tcPr>
          <w:p w14:paraId="3E3299A3" w14:textId="5D38A5C4" w:rsidR="004504BD" w:rsidRPr="004504BD" w:rsidRDefault="00225D4E" w:rsidP="00383B7F">
            <w:pPr>
              <w:pStyle w:val="ListParagraph"/>
              <w:ind w:left="360"/>
              <w:rPr>
                <w:color w:val="0D0D0D" w:themeColor="text1" w:themeTint="F2"/>
                <w:sz w:val="20"/>
                <w:szCs w:val="20"/>
              </w:rPr>
            </w:pPr>
            <w:r>
              <w:rPr>
                <w:color w:val="0D0D0D" w:themeColor="text1" w:themeTint="F2"/>
                <w:sz w:val="20"/>
                <w:szCs w:val="20"/>
              </w:rPr>
              <w:t>2A* 1B</w:t>
            </w:r>
          </w:p>
        </w:tc>
        <w:tc>
          <w:tcPr>
            <w:tcW w:w="3544" w:type="dxa"/>
          </w:tcPr>
          <w:p w14:paraId="088BA4E8" w14:textId="47B08915" w:rsidR="004504BD" w:rsidRPr="004504BD" w:rsidRDefault="00225D4E" w:rsidP="00383B7F">
            <w:pPr>
              <w:pStyle w:val="ListParagraph"/>
              <w:ind w:left="360"/>
              <w:rPr>
                <w:color w:val="0D0D0D" w:themeColor="text1" w:themeTint="F2"/>
                <w:sz w:val="20"/>
                <w:szCs w:val="20"/>
              </w:rPr>
            </w:pPr>
            <w:r>
              <w:rPr>
                <w:color w:val="0D0D0D" w:themeColor="text1" w:themeTint="F2"/>
                <w:sz w:val="20"/>
                <w:szCs w:val="20"/>
              </w:rPr>
              <w:t>3A*1A</w:t>
            </w:r>
          </w:p>
        </w:tc>
      </w:tr>
      <w:tr w:rsidR="004504BD" w:rsidRPr="004504BD" w14:paraId="2E632DF7" w14:textId="70420F80" w:rsidTr="00AC315A">
        <w:tc>
          <w:tcPr>
            <w:tcW w:w="3544" w:type="dxa"/>
          </w:tcPr>
          <w:p w14:paraId="6E2B0DF4" w14:textId="77777777" w:rsidR="004504BD" w:rsidRPr="004504BD" w:rsidRDefault="004504BD" w:rsidP="00383B7F">
            <w:pPr>
              <w:pStyle w:val="ListParagraph"/>
              <w:ind w:left="360"/>
              <w:rPr>
                <w:color w:val="0D0D0D" w:themeColor="text1" w:themeTint="F2"/>
                <w:sz w:val="20"/>
                <w:szCs w:val="20"/>
              </w:rPr>
            </w:pPr>
            <w:r w:rsidRPr="004504BD">
              <w:rPr>
                <w:color w:val="0D0D0D" w:themeColor="text1" w:themeTint="F2"/>
                <w:sz w:val="20"/>
                <w:szCs w:val="20"/>
              </w:rPr>
              <w:t>Level E research points</w:t>
            </w:r>
          </w:p>
        </w:tc>
        <w:tc>
          <w:tcPr>
            <w:tcW w:w="3544" w:type="dxa"/>
          </w:tcPr>
          <w:p w14:paraId="04C348DF" w14:textId="1B941AA6" w:rsidR="004504BD" w:rsidRPr="004504BD" w:rsidRDefault="00225D4E" w:rsidP="00383B7F">
            <w:pPr>
              <w:pStyle w:val="ListParagraph"/>
              <w:ind w:left="360"/>
              <w:rPr>
                <w:color w:val="0D0D0D" w:themeColor="text1" w:themeTint="F2"/>
                <w:sz w:val="20"/>
                <w:szCs w:val="20"/>
              </w:rPr>
            </w:pPr>
            <w:r>
              <w:rPr>
                <w:color w:val="0D0D0D" w:themeColor="text1" w:themeTint="F2"/>
                <w:sz w:val="20"/>
                <w:szCs w:val="20"/>
              </w:rPr>
              <w:t>1A* 1A</w:t>
            </w:r>
          </w:p>
        </w:tc>
        <w:tc>
          <w:tcPr>
            <w:tcW w:w="3544" w:type="dxa"/>
          </w:tcPr>
          <w:p w14:paraId="52CF56F9" w14:textId="27A31977" w:rsidR="004504BD" w:rsidRPr="004504BD" w:rsidRDefault="00225D4E" w:rsidP="00720C48">
            <w:pPr>
              <w:pStyle w:val="ListParagraph"/>
              <w:ind w:left="360"/>
              <w:rPr>
                <w:color w:val="0D0D0D" w:themeColor="text1" w:themeTint="F2"/>
                <w:sz w:val="20"/>
                <w:szCs w:val="20"/>
              </w:rPr>
            </w:pPr>
            <w:r>
              <w:rPr>
                <w:color w:val="0D0D0D" w:themeColor="text1" w:themeTint="F2"/>
                <w:sz w:val="20"/>
                <w:szCs w:val="20"/>
              </w:rPr>
              <w:t>2A*1.5A</w:t>
            </w:r>
          </w:p>
        </w:tc>
        <w:tc>
          <w:tcPr>
            <w:tcW w:w="3544" w:type="dxa"/>
          </w:tcPr>
          <w:p w14:paraId="31599CAF" w14:textId="2649989A" w:rsidR="004504BD" w:rsidRPr="004504BD" w:rsidRDefault="00225D4E" w:rsidP="00720C48">
            <w:pPr>
              <w:pStyle w:val="ListParagraph"/>
              <w:ind w:left="360"/>
              <w:rPr>
                <w:color w:val="0D0D0D" w:themeColor="text1" w:themeTint="F2"/>
                <w:sz w:val="20"/>
                <w:szCs w:val="20"/>
              </w:rPr>
            </w:pPr>
            <w:r>
              <w:rPr>
                <w:color w:val="0D0D0D" w:themeColor="text1" w:themeTint="F2"/>
                <w:sz w:val="20"/>
                <w:szCs w:val="20"/>
              </w:rPr>
              <w:t>4A*1B</w:t>
            </w:r>
          </w:p>
        </w:tc>
      </w:tr>
    </w:tbl>
    <w:p w14:paraId="2DE730BA" w14:textId="1014A9FE" w:rsidR="00383B7F" w:rsidRPr="004504BD" w:rsidRDefault="00383B7F" w:rsidP="00383B7F">
      <w:pPr>
        <w:pStyle w:val="ListParagraph"/>
        <w:ind w:left="360"/>
        <w:rPr>
          <w:color w:val="0D0D0D" w:themeColor="text1" w:themeTint="F2"/>
          <w:sz w:val="20"/>
          <w:szCs w:val="20"/>
        </w:rPr>
      </w:pPr>
    </w:p>
    <w:p w14:paraId="19451ACD" w14:textId="77777777" w:rsidR="00383B7F" w:rsidRDefault="00383B7F" w:rsidP="00691648">
      <w:pPr>
        <w:jc w:val="center"/>
        <w:rPr>
          <w:b/>
        </w:rPr>
      </w:pPr>
    </w:p>
    <w:p w14:paraId="0B21EC0A" w14:textId="77777777" w:rsidR="00383B7F" w:rsidRDefault="00383B7F" w:rsidP="00691648">
      <w:pPr>
        <w:jc w:val="center"/>
        <w:rPr>
          <w:b/>
        </w:rPr>
      </w:pP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5892"/>
      </w:tblGrid>
      <w:tr w:rsidR="004F55AA" w:rsidRPr="004F55AA" w14:paraId="54A157DB" w14:textId="77777777" w:rsidTr="004F55AA">
        <w:trPr>
          <w:trHeight w:val="1985"/>
          <w:tblCellSpacing w:w="0" w:type="dxa"/>
        </w:trPr>
        <w:tc>
          <w:tcPr>
            <w:tcW w:w="0" w:type="auto"/>
            <w:tcMar>
              <w:top w:w="0" w:type="dxa"/>
              <w:left w:w="180" w:type="dxa"/>
              <w:bottom w:w="0" w:type="dxa"/>
              <w:right w:w="180" w:type="dxa"/>
            </w:tcMar>
            <w:hideMark/>
          </w:tcPr>
          <w:p w14:paraId="764F8A19" w14:textId="5BA86072" w:rsidR="004F55AA" w:rsidRPr="004F55AA" w:rsidRDefault="004F55AA" w:rsidP="004F55AA">
            <w:pPr>
              <w:jc w:val="both"/>
              <w:rPr>
                <w:rFonts w:ascii="Times New Roman" w:eastAsia="Times New Roman" w:hAnsi="Times New Roman" w:cs="Times New Roman"/>
                <w:b/>
                <w:sz w:val="20"/>
                <w:szCs w:val="20"/>
                <w:lang w:val="en-US"/>
              </w:rPr>
            </w:pPr>
            <w:r w:rsidRPr="004F55AA">
              <w:rPr>
                <w:rFonts w:ascii="Times New Roman" w:eastAsia="Times New Roman" w:hAnsi="Times New Roman" w:cs="Times New Roman"/>
                <w:b/>
                <w:sz w:val="20"/>
                <w:szCs w:val="20"/>
                <w:lang w:val="en-US"/>
              </w:rPr>
              <w:t>The model will be phased in over time using the following staged implementation:</w:t>
            </w:r>
          </w:p>
          <w:p w14:paraId="091FDBEE" w14:textId="77777777" w:rsidR="004F55AA" w:rsidRPr="004F55AA" w:rsidRDefault="004F55AA" w:rsidP="004F55AA">
            <w:pPr>
              <w:jc w:val="both"/>
              <w:rPr>
                <w:rFonts w:ascii="Times" w:eastAsia="Times New Roman" w:hAnsi="Times" w:cs="Times New Roman"/>
                <w:b/>
                <w:sz w:val="20"/>
                <w:szCs w:val="20"/>
              </w:rPr>
            </w:pPr>
          </w:p>
          <w:p w14:paraId="6471D91E" w14:textId="2582E083" w:rsidR="004F55AA" w:rsidRPr="004F55AA" w:rsidRDefault="004F55AA" w:rsidP="004F55AA">
            <w:pPr>
              <w:pStyle w:val="ListParagraph"/>
              <w:numPr>
                <w:ilvl w:val="0"/>
                <w:numId w:val="3"/>
              </w:numPr>
              <w:jc w:val="both"/>
              <w:rPr>
                <w:rFonts w:ascii="Times" w:eastAsia="Times New Roman" w:hAnsi="Times" w:cs="Times New Roman"/>
                <w:b/>
                <w:sz w:val="20"/>
                <w:szCs w:val="20"/>
              </w:rPr>
            </w:pPr>
            <w:r w:rsidRPr="004F55AA">
              <w:rPr>
                <w:rFonts w:ascii="Times New Roman" w:eastAsia="Times New Roman" w:hAnsi="Times New Roman" w:cs="Times New Roman"/>
                <w:b/>
                <w:sz w:val="20"/>
                <w:szCs w:val="20"/>
                <w:lang w:val="en-US"/>
              </w:rPr>
              <w:t xml:space="preserve">the </w:t>
            </w:r>
            <w:r w:rsidRPr="004F55AA">
              <w:rPr>
                <w:rFonts w:ascii="Times New Roman" w:eastAsia="Times New Roman" w:hAnsi="Times New Roman" w:cs="Times New Roman"/>
                <w:b/>
                <w:sz w:val="20"/>
                <w:szCs w:val="20"/>
              </w:rPr>
              <w:t>2016 WAM will be b</w:t>
            </w:r>
            <w:r w:rsidR="00FC0099">
              <w:rPr>
                <w:rFonts w:ascii="Times New Roman" w:eastAsia="Times New Roman" w:hAnsi="Times New Roman" w:cs="Times New Roman"/>
                <w:b/>
                <w:sz w:val="20"/>
                <w:szCs w:val="20"/>
              </w:rPr>
              <w:t>ased on the (existing) 2012-2015 L</w:t>
            </w:r>
            <w:r w:rsidRPr="004F55AA">
              <w:rPr>
                <w:rFonts w:ascii="Times New Roman" w:eastAsia="Times New Roman" w:hAnsi="Times New Roman" w:cs="Times New Roman"/>
                <w:b/>
                <w:sz w:val="20"/>
                <w:szCs w:val="20"/>
              </w:rPr>
              <w:t>REM</w:t>
            </w:r>
            <w:r w:rsidR="00FC0099">
              <w:rPr>
                <w:rFonts w:ascii="Times New Roman" w:eastAsia="Times New Roman" w:hAnsi="Times New Roman" w:cs="Times New Roman"/>
                <w:b/>
                <w:sz w:val="20"/>
                <w:szCs w:val="20"/>
              </w:rPr>
              <w:t xml:space="preserve"> (**researchers may choose to fully apply the 2016 LREM)</w:t>
            </w:r>
            <w:r w:rsidRPr="004F55AA">
              <w:rPr>
                <w:rFonts w:ascii="Times New Roman" w:eastAsia="Times New Roman" w:hAnsi="Times New Roman" w:cs="Times New Roman"/>
                <w:b/>
                <w:sz w:val="20"/>
                <w:szCs w:val="20"/>
              </w:rPr>
              <w:t>;</w:t>
            </w:r>
          </w:p>
          <w:p w14:paraId="6C1940AD" w14:textId="6F1037D0" w:rsidR="00FC0099" w:rsidRPr="004F55AA" w:rsidRDefault="004F55AA" w:rsidP="00FC0099">
            <w:pPr>
              <w:pStyle w:val="ListParagraph"/>
              <w:numPr>
                <w:ilvl w:val="0"/>
                <w:numId w:val="3"/>
              </w:numPr>
              <w:jc w:val="both"/>
              <w:rPr>
                <w:rFonts w:ascii="Times" w:eastAsia="Times New Roman" w:hAnsi="Times" w:cs="Times New Roman"/>
                <w:b/>
                <w:sz w:val="20"/>
                <w:szCs w:val="20"/>
              </w:rPr>
            </w:pPr>
            <w:r w:rsidRPr="004F55AA">
              <w:rPr>
                <w:rFonts w:ascii="Times New Roman" w:eastAsia="Times New Roman" w:hAnsi="Times New Roman" w:cs="Times New Roman"/>
                <w:b/>
                <w:sz w:val="20"/>
                <w:szCs w:val="20"/>
              </w:rPr>
              <w:t xml:space="preserve">the 2017 WAM will be based </w:t>
            </w:r>
            <w:r w:rsidR="00FC0099">
              <w:rPr>
                <w:rFonts w:ascii="Times New Roman" w:eastAsia="Times New Roman" w:hAnsi="Times New Roman" w:cs="Times New Roman"/>
                <w:b/>
                <w:sz w:val="20"/>
                <w:szCs w:val="20"/>
              </w:rPr>
              <w:t>on 2 years of the existing (2015) L</w:t>
            </w:r>
            <w:r w:rsidRPr="004F55AA">
              <w:rPr>
                <w:rFonts w:ascii="Times New Roman" w:eastAsia="Times New Roman" w:hAnsi="Times New Roman" w:cs="Times New Roman"/>
                <w:b/>
                <w:sz w:val="20"/>
                <w:szCs w:val="20"/>
              </w:rPr>
              <w:t>REM (2014/2015)</w:t>
            </w:r>
            <w:r w:rsidR="00FC0099">
              <w:rPr>
                <w:rFonts w:ascii="Times New Roman" w:eastAsia="Times New Roman" w:hAnsi="Times New Roman" w:cs="Times New Roman"/>
                <w:b/>
                <w:sz w:val="20"/>
                <w:szCs w:val="20"/>
              </w:rPr>
              <w:t xml:space="preserve"> and one year of this new 2016 L</w:t>
            </w:r>
            <w:r w:rsidRPr="004F55AA">
              <w:rPr>
                <w:rFonts w:ascii="Times New Roman" w:eastAsia="Times New Roman" w:hAnsi="Times New Roman" w:cs="Times New Roman"/>
                <w:b/>
                <w:sz w:val="20"/>
                <w:szCs w:val="20"/>
              </w:rPr>
              <w:t>REM</w:t>
            </w:r>
            <w:r w:rsidR="00FC0099">
              <w:rPr>
                <w:rFonts w:ascii="Times New Roman" w:eastAsia="Times New Roman" w:hAnsi="Times New Roman" w:cs="Times New Roman"/>
                <w:b/>
                <w:sz w:val="20"/>
                <w:szCs w:val="20"/>
              </w:rPr>
              <w:t xml:space="preserve"> (**researchers may choose to fully apply the 2016 LREM)</w:t>
            </w:r>
            <w:r w:rsidR="00FC0099" w:rsidRPr="004F55AA">
              <w:rPr>
                <w:rFonts w:ascii="Times New Roman" w:eastAsia="Times New Roman" w:hAnsi="Times New Roman" w:cs="Times New Roman"/>
                <w:b/>
                <w:sz w:val="20"/>
                <w:szCs w:val="20"/>
              </w:rPr>
              <w:t>;</w:t>
            </w:r>
          </w:p>
          <w:p w14:paraId="7EA32D6F" w14:textId="6BCE8034" w:rsidR="004F55AA" w:rsidRPr="00FC0099" w:rsidRDefault="004F55AA" w:rsidP="00FC0099">
            <w:pPr>
              <w:pStyle w:val="ListParagraph"/>
              <w:ind w:left="360"/>
              <w:jc w:val="both"/>
              <w:rPr>
                <w:rFonts w:ascii="Times" w:eastAsia="Times New Roman" w:hAnsi="Times" w:cs="Times New Roman"/>
                <w:b/>
                <w:sz w:val="20"/>
                <w:szCs w:val="20"/>
              </w:rPr>
            </w:pPr>
          </w:p>
          <w:p w14:paraId="5C3A11C9" w14:textId="3AC92329" w:rsidR="00FC0099" w:rsidRPr="004F55AA" w:rsidRDefault="004F55AA" w:rsidP="00FC0099">
            <w:pPr>
              <w:pStyle w:val="ListParagraph"/>
              <w:numPr>
                <w:ilvl w:val="0"/>
                <w:numId w:val="3"/>
              </w:numPr>
              <w:jc w:val="both"/>
              <w:rPr>
                <w:rFonts w:ascii="Times" w:eastAsia="Times New Roman" w:hAnsi="Times" w:cs="Times New Roman"/>
                <w:b/>
                <w:sz w:val="20"/>
                <w:szCs w:val="20"/>
              </w:rPr>
            </w:pPr>
            <w:r w:rsidRPr="004F55AA">
              <w:rPr>
                <w:rFonts w:ascii="Times New Roman" w:eastAsia="Times New Roman" w:hAnsi="Times New Roman" w:cs="Times New Roman"/>
                <w:b/>
                <w:sz w:val="20"/>
                <w:szCs w:val="20"/>
              </w:rPr>
              <w:t>the 2018 WAM will be b</w:t>
            </w:r>
            <w:r w:rsidR="00FC0099">
              <w:rPr>
                <w:rFonts w:ascii="Times New Roman" w:eastAsia="Times New Roman" w:hAnsi="Times New Roman" w:cs="Times New Roman"/>
                <w:b/>
                <w:sz w:val="20"/>
                <w:szCs w:val="20"/>
              </w:rPr>
              <w:t>ased on 1 year existing (2015) L</w:t>
            </w:r>
            <w:r w:rsidRPr="004F55AA">
              <w:rPr>
                <w:rFonts w:ascii="Times New Roman" w:eastAsia="Times New Roman" w:hAnsi="Times New Roman" w:cs="Times New Roman"/>
                <w:b/>
                <w:sz w:val="20"/>
                <w:szCs w:val="20"/>
              </w:rPr>
              <w:t>REM (2</w:t>
            </w:r>
            <w:r w:rsidR="00FC0099">
              <w:rPr>
                <w:rFonts w:ascii="Times New Roman" w:eastAsia="Times New Roman" w:hAnsi="Times New Roman" w:cs="Times New Roman"/>
                <w:b/>
                <w:sz w:val="20"/>
                <w:szCs w:val="20"/>
              </w:rPr>
              <w:t>015) and two years of the 2016 L</w:t>
            </w:r>
            <w:r w:rsidRPr="004F55AA">
              <w:rPr>
                <w:rFonts w:ascii="Times New Roman" w:eastAsia="Times New Roman" w:hAnsi="Times New Roman" w:cs="Times New Roman"/>
                <w:b/>
                <w:sz w:val="20"/>
                <w:szCs w:val="20"/>
              </w:rPr>
              <w:t>REM</w:t>
            </w:r>
            <w:r w:rsidR="00FC0099">
              <w:rPr>
                <w:rFonts w:ascii="Times New Roman" w:eastAsia="Times New Roman" w:hAnsi="Times New Roman" w:cs="Times New Roman"/>
                <w:b/>
                <w:sz w:val="20"/>
                <w:szCs w:val="20"/>
              </w:rPr>
              <w:t xml:space="preserve"> (**researchers may choose to fully apply the 2016 LREM)</w:t>
            </w:r>
            <w:r w:rsidR="00FC0099" w:rsidRPr="004F55AA">
              <w:rPr>
                <w:rFonts w:ascii="Times New Roman" w:eastAsia="Times New Roman" w:hAnsi="Times New Roman" w:cs="Times New Roman"/>
                <w:b/>
                <w:sz w:val="20"/>
                <w:szCs w:val="20"/>
              </w:rPr>
              <w:t>;</w:t>
            </w:r>
          </w:p>
          <w:p w14:paraId="7F96EA53" w14:textId="790FD2A0" w:rsidR="004F55AA" w:rsidRPr="00FC0099" w:rsidRDefault="004F55AA" w:rsidP="00FC0099">
            <w:pPr>
              <w:jc w:val="both"/>
              <w:rPr>
                <w:rFonts w:ascii="Times" w:eastAsia="Times New Roman" w:hAnsi="Times" w:cs="Times New Roman"/>
                <w:b/>
                <w:sz w:val="20"/>
                <w:szCs w:val="20"/>
              </w:rPr>
            </w:pPr>
          </w:p>
          <w:p w14:paraId="65CFD296" w14:textId="041FCE13" w:rsidR="004F55AA" w:rsidRPr="00FC0099" w:rsidRDefault="004F55AA" w:rsidP="004F55AA">
            <w:pPr>
              <w:pStyle w:val="ListParagraph"/>
              <w:numPr>
                <w:ilvl w:val="0"/>
                <w:numId w:val="3"/>
              </w:numPr>
              <w:jc w:val="both"/>
              <w:rPr>
                <w:rFonts w:ascii="Times" w:eastAsia="Times New Roman" w:hAnsi="Times" w:cs="Times New Roman"/>
                <w:b/>
                <w:sz w:val="20"/>
                <w:szCs w:val="20"/>
              </w:rPr>
            </w:pPr>
            <w:r w:rsidRPr="004F55AA">
              <w:rPr>
                <w:rFonts w:ascii="Times New Roman" w:eastAsia="Times New Roman" w:hAnsi="Times New Roman" w:cs="Times New Roman"/>
                <w:b/>
                <w:color w:val="000000"/>
                <w:sz w:val="20"/>
                <w:szCs w:val="20"/>
              </w:rPr>
              <w:t>2019 will be based on f</w:t>
            </w:r>
            <w:r w:rsidR="00FC0099">
              <w:rPr>
                <w:rFonts w:ascii="Times New Roman" w:eastAsia="Times New Roman" w:hAnsi="Times New Roman" w:cs="Times New Roman"/>
                <w:b/>
                <w:color w:val="000000"/>
                <w:sz w:val="20"/>
                <w:szCs w:val="20"/>
              </w:rPr>
              <w:t>ull implementation of the 2016 L</w:t>
            </w:r>
            <w:r w:rsidRPr="004F55AA">
              <w:rPr>
                <w:rFonts w:ascii="Times New Roman" w:eastAsia="Times New Roman" w:hAnsi="Times New Roman" w:cs="Times New Roman"/>
                <w:b/>
                <w:color w:val="000000"/>
                <w:sz w:val="20"/>
                <w:szCs w:val="20"/>
              </w:rPr>
              <w:t>REM</w:t>
            </w:r>
          </w:p>
          <w:p w14:paraId="1BAF0BC9" w14:textId="77777777" w:rsidR="00FC0099" w:rsidRDefault="00FC0099" w:rsidP="00FC0099">
            <w:pPr>
              <w:jc w:val="both"/>
              <w:rPr>
                <w:rFonts w:eastAsia="Times New Roman" w:cs="Times New Roman"/>
                <w:color w:val="1F497D"/>
                <w:sz w:val="22"/>
                <w:szCs w:val="22"/>
              </w:rPr>
            </w:pPr>
          </w:p>
          <w:p w14:paraId="5512FDD9" w14:textId="5156BF40" w:rsidR="00FC0099" w:rsidRPr="00FC0099" w:rsidRDefault="00FC0099" w:rsidP="00FC0099">
            <w:pPr>
              <w:jc w:val="both"/>
              <w:rPr>
                <w:rFonts w:ascii="Times" w:eastAsia="Times New Roman" w:hAnsi="Times" w:cs="Times New Roman"/>
                <w:b/>
                <w:sz w:val="20"/>
                <w:szCs w:val="20"/>
              </w:rPr>
            </w:pPr>
          </w:p>
        </w:tc>
      </w:tr>
    </w:tbl>
    <w:p w14:paraId="4CB44739" w14:textId="77777777" w:rsidR="004F55AA" w:rsidRPr="004F55AA" w:rsidRDefault="004F55AA" w:rsidP="004F55AA">
      <w:pPr>
        <w:rPr>
          <w:rFonts w:ascii="Calibri" w:eastAsia="Times New Roman" w:hAnsi="Calibri" w:cs="Times New Roman"/>
          <w:color w:val="000000"/>
          <w:sz w:val="21"/>
          <w:szCs w:val="21"/>
        </w:rPr>
      </w:pPr>
    </w:p>
    <w:p w14:paraId="3B1D274E" w14:textId="77777777" w:rsidR="004F55AA" w:rsidRPr="004F55AA" w:rsidRDefault="004F55AA" w:rsidP="004F55AA">
      <w:pPr>
        <w:rPr>
          <w:rFonts w:ascii="Calibri" w:eastAsia="Times New Roman" w:hAnsi="Calibri" w:cs="Times New Roman"/>
          <w:color w:val="000000"/>
          <w:sz w:val="21"/>
          <w:szCs w:val="21"/>
        </w:rPr>
      </w:pPr>
    </w:p>
    <w:p w14:paraId="6879ADC1" w14:textId="77777777" w:rsidR="004F55AA" w:rsidRPr="004F55AA" w:rsidRDefault="004F55AA" w:rsidP="004F55AA">
      <w:pPr>
        <w:rPr>
          <w:rFonts w:ascii="Calibri" w:eastAsia="Times New Roman" w:hAnsi="Calibri" w:cs="Times New Roman"/>
          <w:color w:val="000000"/>
          <w:sz w:val="21"/>
          <w:szCs w:val="21"/>
        </w:rPr>
      </w:pPr>
    </w:p>
    <w:p w14:paraId="1F0BBDD3" w14:textId="77777777" w:rsidR="004F55AA" w:rsidRPr="004F55AA" w:rsidRDefault="004F55AA" w:rsidP="004F55AA">
      <w:pPr>
        <w:rPr>
          <w:rFonts w:ascii="Calibri" w:eastAsia="Times New Roman" w:hAnsi="Calibri" w:cs="Times New Roman"/>
          <w:color w:val="000000"/>
          <w:sz w:val="21"/>
          <w:szCs w:val="21"/>
        </w:rPr>
      </w:pPr>
    </w:p>
    <w:p w14:paraId="207E1308" w14:textId="1422B109" w:rsidR="004F55AA" w:rsidRPr="004F55AA" w:rsidRDefault="004F55AA" w:rsidP="004F55AA">
      <w:pPr>
        <w:rPr>
          <w:rFonts w:ascii="Calibri" w:eastAsia="Times New Roman" w:hAnsi="Calibri" w:cs="Times New Roman"/>
          <w:color w:val="000000"/>
          <w:sz w:val="21"/>
          <w:szCs w:val="21"/>
        </w:rPr>
      </w:pPr>
    </w:p>
    <w:p w14:paraId="1FACE968" w14:textId="77777777" w:rsidR="004F55AA" w:rsidRPr="004F55AA" w:rsidRDefault="004F55AA" w:rsidP="004F55AA">
      <w:pPr>
        <w:rPr>
          <w:rFonts w:ascii="Calibri" w:eastAsia="Times New Roman" w:hAnsi="Calibri" w:cs="Times New Roman"/>
          <w:color w:val="000000"/>
          <w:sz w:val="21"/>
          <w:szCs w:val="21"/>
        </w:rPr>
      </w:pPr>
    </w:p>
    <w:p w14:paraId="478309E8" w14:textId="77777777" w:rsidR="004F55AA" w:rsidRPr="004F55AA" w:rsidRDefault="004F55AA" w:rsidP="004F55AA">
      <w:pPr>
        <w:rPr>
          <w:rFonts w:ascii="Calibri" w:eastAsia="Times New Roman" w:hAnsi="Calibri" w:cs="Times New Roman"/>
          <w:color w:val="000000"/>
          <w:sz w:val="21"/>
          <w:szCs w:val="21"/>
        </w:rPr>
      </w:pPr>
    </w:p>
    <w:p w14:paraId="2F68ECA3" w14:textId="77777777" w:rsidR="00383B7F" w:rsidRDefault="00383B7F" w:rsidP="004F55AA">
      <w:pPr>
        <w:rPr>
          <w:b/>
        </w:rPr>
      </w:pPr>
    </w:p>
    <w:p w14:paraId="674AFB1C" w14:textId="77777777" w:rsidR="00383B7F" w:rsidRDefault="00383B7F" w:rsidP="00691648">
      <w:pPr>
        <w:jc w:val="center"/>
        <w:rPr>
          <w:b/>
        </w:rPr>
      </w:pPr>
    </w:p>
    <w:sectPr w:rsidR="00383B7F" w:rsidSect="00B46ED9">
      <w:pgSz w:w="16840" w:h="11900" w:orient="landscape"/>
      <w:pgMar w:top="0" w:right="538"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AD11F" w14:textId="77777777" w:rsidR="0003544A" w:rsidRDefault="0003544A" w:rsidP="00D03DEA">
      <w:r>
        <w:separator/>
      </w:r>
    </w:p>
  </w:endnote>
  <w:endnote w:type="continuationSeparator" w:id="0">
    <w:p w14:paraId="403E6871" w14:textId="77777777" w:rsidR="0003544A" w:rsidRDefault="0003544A" w:rsidP="00D0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9942A" w14:textId="77777777" w:rsidR="0003544A" w:rsidRDefault="0003544A" w:rsidP="00D03DEA">
      <w:r>
        <w:separator/>
      </w:r>
    </w:p>
  </w:footnote>
  <w:footnote w:type="continuationSeparator" w:id="0">
    <w:p w14:paraId="04B26153" w14:textId="77777777" w:rsidR="0003544A" w:rsidRDefault="0003544A" w:rsidP="00D03DEA">
      <w:r>
        <w:continuationSeparator/>
      </w:r>
    </w:p>
  </w:footnote>
  <w:footnote w:id="1">
    <w:p w14:paraId="57629968" w14:textId="77777777" w:rsidR="006D08C0" w:rsidRPr="003B2491" w:rsidRDefault="006D08C0">
      <w:pPr>
        <w:pStyle w:val="FootnoteText"/>
        <w:rPr>
          <w:sz w:val="20"/>
          <w:szCs w:val="20"/>
        </w:rPr>
      </w:pPr>
      <w:r w:rsidRPr="003B2491">
        <w:rPr>
          <w:sz w:val="20"/>
          <w:szCs w:val="20"/>
        </w:rPr>
        <w:footnoteRef/>
      </w:r>
      <w:r w:rsidRPr="003B2491">
        <w:rPr>
          <w:sz w:val="20"/>
          <w:szCs w:val="20"/>
        </w:rPr>
        <w:t xml:space="preserve"> </w:t>
      </w:r>
      <w:r w:rsidRPr="006D08C0">
        <w:rPr>
          <w:sz w:val="20"/>
          <w:szCs w:val="20"/>
        </w:rPr>
        <w:t>All performance should be evaluated relative to opportunity (ie, taking into account any extraordinary circumstances that have systematically reduced opportunities to undertake research, such as periods of illness, maternity leave, carer responsibilities, fractional appointment etc).</w:t>
      </w:r>
      <w:r>
        <w:rPr>
          <w:sz w:val="20"/>
          <w:szCs w:val="20"/>
        </w:rPr>
        <w:t xml:space="preserve"> </w:t>
      </w:r>
    </w:p>
  </w:footnote>
  <w:footnote w:id="2">
    <w:p w14:paraId="7CA40883" w14:textId="77777777" w:rsidR="00B127F8" w:rsidRPr="003B2491" w:rsidRDefault="006D08C0">
      <w:pPr>
        <w:pStyle w:val="FootnoteText"/>
        <w:rPr>
          <w:sz w:val="20"/>
          <w:szCs w:val="20"/>
        </w:rPr>
      </w:pPr>
      <w:r w:rsidRPr="003B2491">
        <w:rPr>
          <w:sz w:val="20"/>
          <w:szCs w:val="20"/>
        </w:rPr>
        <w:footnoteRef/>
      </w:r>
      <w:r w:rsidR="00792E8A" w:rsidRPr="00792E8A">
        <w:rPr>
          <w:sz w:val="20"/>
          <w:szCs w:val="20"/>
        </w:rPr>
        <w:t xml:space="preserve"> The Research Committee is c</w:t>
      </w:r>
      <w:r w:rsidRPr="003B2491">
        <w:rPr>
          <w:sz w:val="20"/>
          <w:szCs w:val="20"/>
        </w:rPr>
        <w:t>haired by the Director of Research</w:t>
      </w:r>
      <w:r w:rsidR="00CB3503">
        <w:rPr>
          <w:sz w:val="20"/>
          <w:szCs w:val="20"/>
        </w:rPr>
        <w:t xml:space="preserve"> and members are appointed by the Head of School in consultation with the SMT.</w:t>
      </w:r>
      <w:r w:rsidRPr="003B2491">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43F44"/>
    <w:multiLevelType w:val="hybridMultilevel"/>
    <w:tmpl w:val="6F1E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876025"/>
    <w:multiLevelType w:val="hybridMultilevel"/>
    <w:tmpl w:val="D2C09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57B70"/>
    <w:multiLevelType w:val="hybridMultilevel"/>
    <w:tmpl w:val="D2C09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48"/>
    <w:rsid w:val="000302B0"/>
    <w:rsid w:val="0003544A"/>
    <w:rsid w:val="00051C19"/>
    <w:rsid w:val="000F591B"/>
    <w:rsid w:val="001040B6"/>
    <w:rsid w:val="00123414"/>
    <w:rsid w:val="00125DAA"/>
    <w:rsid w:val="00161E17"/>
    <w:rsid w:val="001677D1"/>
    <w:rsid w:val="001A5866"/>
    <w:rsid w:val="001A65C0"/>
    <w:rsid w:val="00225D4E"/>
    <w:rsid w:val="002A4B06"/>
    <w:rsid w:val="002B1D8B"/>
    <w:rsid w:val="002C2B2E"/>
    <w:rsid w:val="00306493"/>
    <w:rsid w:val="00335ABC"/>
    <w:rsid w:val="00342542"/>
    <w:rsid w:val="00351846"/>
    <w:rsid w:val="00383B7F"/>
    <w:rsid w:val="003B2491"/>
    <w:rsid w:val="003C6045"/>
    <w:rsid w:val="003C6620"/>
    <w:rsid w:val="003F57B8"/>
    <w:rsid w:val="004504BD"/>
    <w:rsid w:val="004F55AA"/>
    <w:rsid w:val="00516B4B"/>
    <w:rsid w:val="0053425B"/>
    <w:rsid w:val="00560D96"/>
    <w:rsid w:val="00564745"/>
    <w:rsid w:val="005D51D3"/>
    <w:rsid w:val="006156F9"/>
    <w:rsid w:val="0066494E"/>
    <w:rsid w:val="00666D2D"/>
    <w:rsid w:val="00673D40"/>
    <w:rsid w:val="00691648"/>
    <w:rsid w:val="006A7F8D"/>
    <w:rsid w:val="006D08C0"/>
    <w:rsid w:val="00720C48"/>
    <w:rsid w:val="00762D2A"/>
    <w:rsid w:val="00776243"/>
    <w:rsid w:val="00780746"/>
    <w:rsid w:val="00792E8A"/>
    <w:rsid w:val="007B46BA"/>
    <w:rsid w:val="007C7239"/>
    <w:rsid w:val="007C7432"/>
    <w:rsid w:val="007F6007"/>
    <w:rsid w:val="0087625F"/>
    <w:rsid w:val="00883FB5"/>
    <w:rsid w:val="008B2FCD"/>
    <w:rsid w:val="008C5072"/>
    <w:rsid w:val="008E6677"/>
    <w:rsid w:val="009001B0"/>
    <w:rsid w:val="00907717"/>
    <w:rsid w:val="009139D0"/>
    <w:rsid w:val="009370B4"/>
    <w:rsid w:val="009B634B"/>
    <w:rsid w:val="009C4D77"/>
    <w:rsid w:val="00A440D4"/>
    <w:rsid w:val="00A549C7"/>
    <w:rsid w:val="00A56BE5"/>
    <w:rsid w:val="00AB34BF"/>
    <w:rsid w:val="00AC467C"/>
    <w:rsid w:val="00AD6317"/>
    <w:rsid w:val="00B01868"/>
    <w:rsid w:val="00B127F8"/>
    <w:rsid w:val="00B46ED9"/>
    <w:rsid w:val="00B517AD"/>
    <w:rsid w:val="00B70D39"/>
    <w:rsid w:val="00B7378A"/>
    <w:rsid w:val="00B8684A"/>
    <w:rsid w:val="00B9351A"/>
    <w:rsid w:val="00B9746E"/>
    <w:rsid w:val="00C25562"/>
    <w:rsid w:val="00C45BEB"/>
    <w:rsid w:val="00C550A1"/>
    <w:rsid w:val="00C7467B"/>
    <w:rsid w:val="00CB2B66"/>
    <w:rsid w:val="00CB3503"/>
    <w:rsid w:val="00CD71A6"/>
    <w:rsid w:val="00CF569C"/>
    <w:rsid w:val="00CF6175"/>
    <w:rsid w:val="00D03DEA"/>
    <w:rsid w:val="00D1233F"/>
    <w:rsid w:val="00D61033"/>
    <w:rsid w:val="00D97FA9"/>
    <w:rsid w:val="00DA7A61"/>
    <w:rsid w:val="00DB77DD"/>
    <w:rsid w:val="00DD1C72"/>
    <w:rsid w:val="00E66D1B"/>
    <w:rsid w:val="00E8301D"/>
    <w:rsid w:val="00EC115C"/>
    <w:rsid w:val="00EC48F0"/>
    <w:rsid w:val="00EC6917"/>
    <w:rsid w:val="00F1775F"/>
    <w:rsid w:val="00F30DE2"/>
    <w:rsid w:val="00F566BE"/>
    <w:rsid w:val="00FA46EC"/>
    <w:rsid w:val="00FC0099"/>
    <w:rsid w:val="00FC29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C778E8"/>
  <w14:defaultImageDpi w14:val="300"/>
  <w15:docId w15:val="{D4D59E4E-32A5-425E-9568-946E6188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4BF"/>
    <w:pPr>
      <w:ind w:left="720"/>
      <w:contextualSpacing/>
    </w:pPr>
  </w:style>
  <w:style w:type="paragraph" w:styleId="Header">
    <w:name w:val="header"/>
    <w:basedOn w:val="Normal"/>
    <w:link w:val="HeaderChar"/>
    <w:uiPriority w:val="99"/>
    <w:unhideWhenUsed/>
    <w:rsid w:val="00D03DEA"/>
    <w:pPr>
      <w:tabs>
        <w:tab w:val="center" w:pos="4320"/>
        <w:tab w:val="right" w:pos="8640"/>
      </w:tabs>
    </w:pPr>
  </w:style>
  <w:style w:type="character" w:customStyle="1" w:styleId="HeaderChar">
    <w:name w:val="Header Char"/>
    <w:basedOn w:val="DefaultParagraphFont"/>
    <w:link w:val="Header"/>
    <w:uiPriority w:val="99"/>
    <w:rsid w:val="00D03DEA"/>
  </w:style>
  <w:style w:type="paragraph" w:styleId="Footer">
    <w:name w:val="footer"/>
    <w:basedOn w:val="Normal"/>
    <w:link w:val="FooterChar"/>
    <w:uiPriority w:val="99"/>
    <w:unhideWhenUsed/>
    <w:rsid w:val="00D03DEA"/>
    <w:pPr>
      <w:tabs>
        <w:tab w:val="center" w:pos="4320"/>
        <w:tab w:val="right" w:pos="8640"/>
      </w:tabs>
    </w:pPr>
  </w:style>
  <w:style w:type="character" w:customStyle="1" w:styleId="FooterChar">
    <w:name w:val="Footer Char"/>
    <w:basedOn w:val="DefaultParagraphFont"/>
    <w:link w:val="Footer"/>
    <w:uiPriority w:val="99"/>
    <w:rsid w:val="00D03DEA"/>
  </w:style>
  <w:style w:type="character" w:styleId="CommentReference">
    <w:name w:val="annotation reference"/>
    <w:basedOn w:val="DefaultParagraphFont"/>
    <w:uiPriority w:val="99"/>
    <w:semiHidden/>
    <w:unhideWhenUsed/>
    <w:rsid w:val="00C550A1"/>
    <w:rPr>
      <w:sz w:val="18"/>
      <w:szCs w:val="18"/>
    </w:rPr>
  </w:style>
  <w:style w:type="paragraph" w:styleId="CommentText">
    <w:name w:val="annotation text"/>
    <w:basedOn w:val="Normal"/>
    <w:link w:val="CommentTextChar"/>
    <w:uiPriority w:val="99"/>
    <w:semiHidden/>
    <w:unhideWhenUsed/>
    <w:rsid w:val="00C550A1"/>
  </w:style>
  <w:style w:type="character" w:customStyle="1" w:styleId="CommentTextChar">
    <w:name w:val="Comment Text Char"/>
    <w:basedOn w:val="DefaultParagraphFont"/>
    <w:link w:val="CommentText"/>
    <w:uiPriority w:val="99"/>
    <w:semiHidden/>
    <w:rsid w:val="00C550A1"/>
  </w:style>
  <w:style w:type="paragraph" w:styleId="CommentSubject">
    <w:name w:val="annotation subject"/>
    <w:basedOn w:val="CommentText"/>
    <w:next w:val="CommentText"/>
    <w:link w:val="CommentSubjectChar"/>
    <w:uiPriority w:val="99"/>
    <w:semiHidden/>
    <w:unhideWhenUsed/>
    <w:rsid w:val="00C550A1"/>
    <w:rPr>
      <w:b/>
      <w:bCs/>
      <w:sz w:val="20"/>
      <w:szCs w:val="20"/>
    </w:rPr>
  </w:style>
  <w:style w:type="character" w:customStyle="1" w:styleId="CommentSubjectChar">
    <w:name w:val="Comment Subject Char"/>
    <w:basedOn w:val="CommentTextChar"/>
    <w:link w:val="CommentSubject"/>
    <w:uiPriority w:val="99"/>
    <w:semiHidden/>
    <w:rsid w:val="00C550A1"/>
    <w:rPr>
      <w:b/>
      <w:bCs/>
      <w:sz w:val="20"/>
      <w:szCs w:val="20"/>
    </w:rPr>
  </w:style>
  <w:style w:type="paragraph" w:styleId="BalloonText">
    <w:name w:val="Balloon Text"/>
    <w:basedOn w:val="Normal"/>
    <w:link w:val="BalloonTextChar"/>
    <w:uiPriority w:val="99"/>
    <w:semiHidden/>
    <w:unhideWhenUsed/>
    <w:rsid w:val="00C550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0A1"/>
    <w:rPr>
      <w:rFonts w:ascii="Lucida Grande" w:hAnsi="Lucida Grande" w:cs="Lucida Grande"/>
      <w:sz w:val="18"/>
      <w:szCs w:val="18"/>
    </w:rPr>
  </w:style>
  <w:style w:type="paragraph" w:styleId="FootnoteText">
    <w:name w:val="footnote text"/>
    <w:basedOn w:val="Normal"/>
    <w:link w:val="FootnoteTextChar"/>
    <w:uiPriority w:val="99"/>
    <w:unhideWhenUsed/>
    <w:rsid w:val="00EC6917"/>
  </w:style>
  <w:style w:type="character" w:customStyle="1" w:styleId="FootnoteTextChar">
    <w:name w:val="Footnote Text Char"/>
    <w:basedOn w:val="DefaultParagraphFont"/>
    <w:link w:val="FootnoteText"/>
    <w:uiPriority w:val="99"/>
    <w:rsid w:val="00EC6917"/>
  </w:style>
  <w:style w:type="character" w:styleId="FootnoteReference">
    <w:name w:val="footnote reference"/>
    <w:basedOn w:val="DefaultParagraphFont"/>
    <w:uiPriority w:val="99"/>
    <w:unhideWhenUsed/>
    <w:rsid w:val="00EC6917"/>
    <w:rPr>
      <w:vertAlign w:val="superscript"/>
    </w:rPr>
  </w:style>
  <w:style w:type="paragraph" w:styleId="Revision">
    <w:name w:val="Revision"/>
    <w:hidden/>
    <w:uiPriority w:val="99"/>
    <w:semiHidden/>
    <w:rsid w:val="00C4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1592">
      <w:bodyDiv w:val="1"/>
      <w:marLeft w:val="0"/>
      <w:marRight w:val="0"/>
      <w:marTop w:val="0"/>
      <w:marBottom w:val="0"/>
      <w:divBdr>
        <w:top w:val="none" w:sz="0" w:space="0" w:color="auto"/>
        <w:left w:val="none" w:sz="0" w:space="0" w:color="auto"/>
        <w:bottom w:val="none" w:sz="0" w:space="0" w:color="auto"/>
        <w:right w:val="none" w:sz="0" w:space="0" w:color="auto"/>
      </w:divBdr>
    </w:div>
    <w:div w:id="1838305999">
      <w:bodyDiv w:val="1"/>
      <w:marLeft w:val="0"/>
      <w:marRight w:val="0"/>
      <w:marTop w:val="0"/>
      <w:marBottom w:val="0"/>
      <w:divBdr>
        <w:top w:val="none" w:sz="0" w:space="0" w:color="auto"/>
        <w:left w:val="none" w:sz="0" w:space="0" w:color="auto"/>
        <w:bottom w:val="none" w:sz="0" w:space="0" w:color="auto"/>
        <w:right w:val="none" w:sz="0" w:space="0" w:color="auto"/>
      </w:divBdr>
      <w:divsChild>
        <w:div w:id="687609991">
          <w:marLeft w:val="0"/>
          <w:marRight w:val="0"/>
          <w:marTop w:val="0"/>
          <w:marBottom w:val="0"/>
          <w:divBdr>
            <w:top w:val="none" w:sz="0" w:space="0" w:color="auto"/>
            <w:left w:val="none" w:sz="0" w:space="0" w:color="auto"/>
            <w:bottom w:val="none" w:sz="0" w:space="0" w:color="auto"/>
            <w:right w:val="none" w:sz="0" w:space="0" w:color="auto"/>
          </w:divBdr>
        </w:div>
        <w:div w:id="1902907413">
          <w:marLeft w:val="0"/>
          <w:marRight w:val="0"/>
          <w:marTop w:val="0"/>
          <w:marBottom w:val="0"/>
          <w:divBdr>
            <w:top w:val="none" w:sz="0" w:space="0" w:color="auto"/>
            <w:left w:val="none" w:sz="0" w:space="0" w:color="auto"/>
            <w:bottom w:val="none" w:sz="0" w:space="0" w:color="auto"/>
            <w:right w:val="none" w:sz="0" w:space="0" w:color="auto"/>
          </w:divBdr>
        </w:div>
        <w:div w:id="111360471">
          <w:marLeft w:val="0"/>
          <w:marRight w:val="0"/>
          <w:marTop w:val="0"/>
          <w:marBottom w:val="0"/>
          <w:divBdr>
            <w:top w:val="none" w:sz="0" w:space="0" w:color="auto"/>
            <w:left w:val="none" w:sz="0" w:space="0" w:color="auto"/>
            <w:bottom w:val="none" w:sz="0" w:space="0" w:color="auto"/>
            <w:right w:val="none" w:sz="0" w:space="0" w:color="auto"/>
          </w:divBdr>
        </w:div>
        <w:div w:id="1953512220">
          <w:marLeft w:val="0"/>
          <w:marRight w:val="0"/>
          <w:marTop w:val="0"/>
          <w:marBottom w:val="0"/>
          <w:divBdr>
            <w:top w:val="none" w:sz="0" w:space="0" w:color="auto"/>
            <w:left w:val="none" w:sz="0" w:space="0" w:color="auto"/>
            <w:bottom w:val="none" w:sz="0" w:space="0" w:color="auto"/>
            <w:right w:val="none" w:sz="0" w:space="0" w:color="auto"/>
          </w:divBdr>
        </w:div>
        <w:div w:id="1252278663">
          <w:marLeft w:val="0"/>
          <w:marRight w:val="0"/>
          <w:marTop w:val="0"/>
          <w:marBottom w:val="0"/>
          <w:divBdr>
            <w:top w:val="none" w:sz="0" w:space="0" w:color="auto"/>
            <w:left w:val="none" w:sz="0" w:space="0" w:color="auto"/>
            <w:bottom w:val="none" w:sz="0" w:space="0" w:color="auto"/>
            <w:right w:val="none" w:sz="0" w:space="0" w:color="auto"/>
          </w:divBdr>
        </w:div>
        <w:div w:id="1779106250">
          <w:marLeft w:val="0"/>
          <w:marRight w:val="0"/>
          <w:marTop w:val="0"/>
          <w:marBottom w:val="0"/>
          <w:divBdr>
            <w:top w:val="none" w:sz="0" w:space="0" w:color="auto"/>
            <w:left w:val="none" w:sz="0" w:space="0" w:color="auto"/>
            <w:bottom w:val="none" w:sz="0" w:space="0" w:color="auto"/>
            <w:right w:val="none" w:sz="0" w:space="0" w:color="auto"/>
          </w:divBdr>
        </w:div>
        <w:div w:id="819075858">
          <w:marLeft w:val="0"/>
          <w:marRight w:val="0"/>
          <w:marTop w:val="0"/>
          <w:marBottom w:val="0"/>
          <w:divBdr>
            <w:top w:val="none" w:sz="0" w:space="0" w:color="auto"/>
            <w:left w:val="none" w:sz="0" w:space="0" w:color="auto"/>
            <w:bottom w:val="none" w:sz="0" w:space="0" w:color="auto"/>
            <w:right w:val="none" w:sz="0" w:space="0" w:color="auto"/>
          </w:divBdr>
        </w:div>
        <w:div w:id="18940584">
          <w:marLeft w:val="0"/>
          <w:marRight w:val="0"/>
          <w:marTop w:val="0"/>
          <w:marBottom w:val="0"/>
          <w:divBdr>
            <w:top w:val="none" w:sz="0" w:space="0" w:color="auto"/>
            <w:left w:val="none" w:sz="0" w:space="0" w:color="auto"/>
            <w:bottom w:val="none" w:sz="0" w:space="0" w:color="auto"/>
            <w:right w:val="none" w:sz="0" w:space="0" w:color="auto"/>
          </w:divBdr>
        </w:div>
        <w:div w:id="1620868634">
          <w:marLeft w:val="0"/>
          <w:marRight w:val="0"/>
          <w:marTop w:val="0"/>
          <w:marBottom w:val="0"/>
          <w:divBdr>
            <w:top w:val="none" w:sz="0" w:space="0" w:color="auto"/>
            <w:left w:val="none" w:sz="0" w:space="0" w:color="auto"/>
            <w:bottom w:val="none" w:sz="0" w:space="0" w:color="auto"/>
            <w:right w:val="none" w:sz="0" w:space="0" w:color="auto"/>
          </w:divBdr>
        </w:div>
        <w:div w:id="1690990360">
          <w:marLeft w:val="0"/>
          <w:marRight w:val="0"/>
          <w:marTop w:val="0"/>
          <w:marBottom w:val="0"/>
          <w:divBdr>
            <w:top w:val="none" w:sz="0" w:space="0" w:color="auto"/>
            <w:left w:val="none" w:sz="0" w:space="0" w:color="auto"/>
            <w:bottom w:val="none" w:sz="0" w:space="0" w:color="auto"/>
            <w:right w:val="none" w:sz="0" w:space="0" w:color="auto"/>
          </w:divBdr>
        </w:div>
        <w:div w:id="206650854">
          <w:marLeft w:val="0"/>
          <w:marRight w:val="0"/>
          <w:marTop w:val="0"/>
          <w:marBottom w:val="0"/>
          <w:divBdr>
            <w:top w:val="none" w:sz="0" w:space="0" w:color="auto"/>
            <w:left w:val="none" w:sz="0" w:space="0" w:color="auto"/>
            <w:bottom w:val="none" w:sz="0" w:space="0" w:color="auto"/>
            <w:right w:val="none" w:sz="0" w:space="0" w:color="auto"/>
          </w:divBdr>
        </w:div>
        <w:div w:id="977878541">
          <w:marLeft w:val="0"/>
          <w:marRight w:val="0"/>
          <w:marTop w:val="0"/>
          <w:marBottom w:val="0"/>
          <w:divBdr>
            <w:top w:val="none" w:sz="0" w:space="0" w:color="auto"/>
            <w:left w:val="none" w:sz="0" w:space="0" w:color="auto"/>
            <w:bottom w:val="none" w:sz="0" w:space="0" w:color="auto"/>
            <w:right w:val="none" w:sz="0" w:space="0" w:color="auto"/>
          </w:divBdr>
        </w:div>
        <w:div w:id="114836981">
          <w:marLeft w:val="0"/>
          <w:marRight w:val="0"/>
          <w:marTop w:val="0"/>
          <w:marBottom w:val="0"/>
          <w:divBdr>
            <w:top w:val="none" w:sz="0" w:space="0" w:color="auto"/>
            <w:left w:val="none" w:sz="0" w:space="0" w:color="auto"/>
            <w:bottom w:val="none" w:sz="0" w:space="0" w:color="auto"/>
            <w:right w:val="none" w:sz="0" w:space="0" w:color="auto"/>
          </w:divBdr>
        </w:div>
        <w:div w:id="1766686417">
          <w:marLeft w:val="0"/>
          <w:marRight w:val="0"/>
          <w:marTop w:val="0"/>
          <w:marBottom w:val="0"/>
          <w:divBdr>
            <w:top w:val="none" w:sz="0" w:space="0" w:color="auto"/>
            <w:left w:val="none" w:sz="0" w:space="0" w:color="auto"/>
            <w:bottom w:val="none" w:sz="0" w:space="0" w:color="auto"/>
            <w:right w:val="none" w:sz="0" w:space="0" w:color="auto"/>
          </w:divBdr>
        </w:div>
        <w:div w:id="852762340">
          <w:marLeft w:val="0"/>
          <w:marRight w:val="0"/>
          <w:marTop w:val="0"/>
          <w:marBottom w:val="0"/>
          <w:divBdr>
            <w:top w:val="none" w:sz="0" w:space="0" w:color="auto"/>
            <w:left w:val="none" w:sz="0" w:space="0" w:color="auto"/>
            <w:bottom w:val="none" w:sz="0" w:space="0" w:color="auto"/>
            <w:right w:val="none" w:sz="0" w:space="0" w:color="auto"/>
          </w:divBdr>
        </w:div>
        <w:div w:id="503740593">
          <w:marLeft w:val="0"/>
          <w:marRight w:val="0"/>
          <w:marTop w:val="0"/>
          <w:marBottom w:val="0"/>
          <w:divBdr>
            <w:top w:val="none" w:sz="0" w:space="0" w:color="auto"/>
            <w:left w:val="none" w:sz="0" w:space="0" w:color="auto"/>
            <w:bottom w:val="none" w:sz="0" w:space="0" w:color="auto"/>
            <w:right w:val="none" w:sz="0" w:space="0" w:color="auto"/>
          </w:divBdr>
        </w:div>
        <w:div w:id="999306243">
          <w:marLeft w:val="0"/>
          <w:marRight w:val="0"/>
          <w:marTop w:val="0"/>
          <w:marBottom w:val="0"/>
          <w:divBdr>
            <w:top w:val="none" w:sz="0" w:space="0" w:color="auto"/>
            <w:left w:val="none" w:sz="0" w:space="0" w:color="auto"/>
            <w:bottom w:val="none" w:sz="0" w:space="0" w:color="auto"/>
            <w:right w:val="none" w:sz="0" w:space="0" w:color="auto"/>
          </w:divBdr>
        </w:div>
        <w:div w:id="1657874190">
          <w:marLeft w:val="0"/>
          <w:marRight w:val="0"/>
          <w:marTop w:val="0"/>
          <w:marBottom w:val="0"/>
          <w:divBdr>
            <w:top w:val="none" w:sz="0" w:space="0" w:color="auto"/>
            <w:left w:val="none" w:sz="0" w:space="0" w:color="auto"/>
            <w:bottom w:val="none" w:sz="0" w:space="0" w:color="auto"/>
            <w:right w:val="none" w:sz="0" w:space="0" w:color="auto"/>
          </w:divBdr>
        </w:div>
        <w:div w:id="1515218229">
          <w:marLeft w:val="0"/>
          <w:marRight w:val="0"/>
          <w:marTop w:val="0"/>
          <w:marBottom w:val="0"/>
          <w:divBdr>
            <w:top w:val="none" w:sz="0" w:space="0" w:color="auto"/>
            <w:left w:val="none" w:sz="0" w:space="0" w:color="auto"/>
            <w:bottom w:val="none" w:sz="0" w:space="0" w:color="auto"/>
            <w:right w:val="none" w:sz="0" w:space="0" w:color="auto"/>
          </w:divBdr>
        </w:div>
        <w:div w:id="1268581920">
          <w:marLeft w:val="0"/>
          <w:marRight w:val="0"/>
          <w:marTop w:val="0"/>
          <w:marBottom w:val="0"/>
          <w:divBdr>
            <w:top w:val="none" w:sz="0" w:space="0" w:color="auto"/>
            <w:left w:val="none" w:sz="0" w:space="0" w:color="auto"/>
            <w:bottom w:val="none" w:sz="0" w:space="0" w:color="auto"/>
            <w:right w:val="none" w:sz="0" w:space="0" w:color="auto"/>
          </w:divBdr>
        </w:div>
        <w:div w:id="186407881">
          <w:marLeft w:val="0"/>
          <w:marRight w:val="0"/>
          <w:marTop w:val="0"/>
          <w:marBottom w:val="0"/>
          <w:divBdr>
            <w:top w:val="none" w:sz="0" w:space="0" w:color="auto"/>
            <w:left w:val="none" w:sz="0" w:space="0" w:color="auto"/>
            <w:bottom w:val="none" w:sz="0" w:space="0" w:color="auto"/>
            <w:right w:val="none" w:sz="0" w:space="0" w:color="auto"/>
          </w:divBdr>
        </w:div>
        <w:div w:id="1065177982">
          <w:marLeft w:val="0"/>
          <w:marRight w:val="0"/>
          <w:marTop w:val="0"/>
          <w:marBottom w:val="0"/>
          <w:divBdr>
            <w:top w:val="none" w:sz="0" w:space="0" w:color="auto"/>
            <w:left w:val="none" w:sz="0" w:space="0" w:color="auto"/>
            <w:bottom w:val="none" w:sz="0" w:space="0" w:color="auto"/>
            <w:right w:val="none" w:sz="0" w:space="0" w:color="auto"/>
          </w:divBdr>
        </w:div>
        <w:div w:id="558052218">
          <w:marLeft w:val="0"/>
          <w:marRight w:val="0"/>
          <w:marTop w:val="0"/>
          <w:marBottom w:val="0"/>
          <w:divBdr>
            <w:top w:val="none" w:sz="0" w:space="0" w:color="auto"/>
            <w:left w:val="none" w:sz="0" w:space="0" w:color="auto"/>
            <w:bottom w:val="none" w:sz="0" w:space="0" w:color="auto"/>
            <w:right w:val="none" w:sz="0" w:space="0" w:color="auto"/>
          </w:divBdr>
        </w:div>
        <w:div w:id="1444811335">
          <w:marLeft w:val="0"/>
          <w:marRight w:val="0"/>
          <w:marTop w:val="0"/>
          <w:marBottom w:val="0"/>
          <w:divBdr>
            <w:top w:val="none" w:sz="0" w:space="0" w:color="auto"/>
            <w:left w:val="none" w:sz="0" w:space="0" w:color="auto"/>
            <w:bottom w:val="none" w:sz="0" w:space="0" w:color="auto"/>
            <w:right w:val="none" w:sz="0" w:space="0" w:color="auto"/>
          </w:divBdr>
        </w:div>
        <w:div w:id="690105410">
          <w:marLeft w:val="0"/>
          <w:marRight w:val="0"/>
          <w:marTop w:val="0"/>
          <w:marBottom w:val="0"/>
          <w:divBdr>
            <w:top w:val="none" w:sz="0" w:space="0" w:color="auto"/>
            <w:left w:val="none" w:sz="0" w:space="0" w:color="auto"/>
            <w:bottom w:val="none" w:sz="0" w:space="0" w:color="auto"/>
            <w:right w:val="none" w:sz="0" w:space="0" w:color="auto"/>
          </w:divBdr>
        </w:div>
      </w:divsChild>
    </w:div>
    <w:div w:id="2004160842">
      <w:bodyDiv w:val="1"/>
      <w:marLeft w:val="0"/>
      <w:marRight w:val="0"/>
      <w:marTop w:val="0"/>
      <w:marBottom w:val="0"/>
      <w:divBdr>
        <w:top w:val="none" w:sz="0" w:space="0" w:color="auto"/>
        <w:left w:val="none" w:sz="0" w:space="0" w:color="auto"/>
        <w:bottom w:val="none" w:sz="0" w:space="0" w:color="auto"/>
        <w:right w:val="none" w:sz="0" w:space="0" w:color="auto"/>
      </w:divBdr>
    </w:div>
    <w:div w:id="2094157427">
      <w:bodyDiv w:val="1"/>
      <w:marLeft w:val="0"/>
      <w:marRight w:val="0"/>
      <w:marTop w:val="0"/>
      <w:marBottom w:val="0"/>
      <w:divBdr>
        <w:top w:val="none" w:sz="0" w:space="0" w:color="auto"/>
        <w:left w:val="none" w:sz="0" w:space="0" w:color="auto"/>
        <w:bottom w:val="none" w:sz="0" w:space="0" w:color="auto"/>
        <w:right w:val="none" w:sz="0" w:space="0" w:color="auto"/>
      </w:divBdr>
      <w:divsChild>
        <w:div w:id="149828993">
          <w:marLeft w:val="0"/>
          <w:marRight w:val="0"/>
          <w:marTop w:val="0"/>
          <w:marBottom w:val="0"/>
          <w:divBdr>
            <w:top w:val="none" w:sz="0" w:space="0" w:color="auto"/>
            <w:left w:val="none" w:sz="0" w:space="0" w:color="auto"/>
            <w:bottom w:val="none" w:sz="0" w:space="0" w:color="auto"/>
            <w:right w:val="none" w:sz="0" w:space="0" w:color="auto"/>
          </w:divBdr>
          <w:divsChild>
            <w:div w:id="1744833574">
              <w:marLeft w:val="0"/>
              <w:marRight w:val="0"/>
              <w:marTop w:val="0"/>
              <w:marBottom w:val="0"/>
              <w:divBdr>
                <w:top w:val="none" w:sz="0" w:space="0" w:color="auto"/>
                <w:left w:val="none" w:sz="0" w:space="0" w:color="auto"/>
                <w:bottom w:val="none" w:sz="0" w:space="0" w:color="auto"/>
                <w:right w:val="none" w:sz="0" w:space="0" w:color="auto"/>
              </w:divBdr>
              <w:divsChild>
                <w:div w:id="1637099845">
                  <w:marLeft w:val="0"/>
                  <w:marRight w:val="0"/>
                  <w:marTop w:val="0"/>
                  <w:marBottom w:val="0"/>
                  <w:divBdr>
                    <w:top w:val="none" w:sz="0" w:space="0" w:color="auto"/>
                    <w:left w:val="none" w:sz="0" w:space="0" w:color="auto"/>
                    <w:bottom w:val="none" w:sz="0" w:space="0" w:color="auto"/>
                    <w:right w:val="none" w:sz="0" w:space="0" w:color="auto"/>
                  </w:divBdr>
                </w:div>
                <w:div w:id="1110583885">
                  <w:marLeft w:val="720"/>
                  <w:marRight w:val="0"/>
                  <w:marTop w:val="0"/>
                  <w:marBottom w:val="0"/>
                  <w:divBdr>
                    <w:top w:val="none" w:sz="0" w:space="0" w:color="auto"/>
                    <w:left w:val="none" w:sz="0" w:space="0" w:color="auto"/>
                    <w:bottom w:val="none" w:sz="0" w:space="0" w:color="auto"/>
                    <w:right w:val="none" w:sz="0" w:space="0" w:color="auto"/>
                  </w:divBdr>
                </w:div>
                <w:div w:id="1892573230">
                  <w:marLeft w:val="720"/>
                  <w:marRight w:val="0"/>
                  <w:marTop w:val="0"/>
                  <w:marBottom w:val="0"/>
                  <w:divBdr>
                    <w:top w:val="none" w:sz="0" w:space="0" w:color="auto"/>
                    <w:left w:val="none" w:sz="0" w:space="0" w:color="auto"/>
                    <w:bottom w:val="none" w:sz="0" w:space="0" w:color="auto"/>
                    <w:right w:val="none" w:sz="0" w:space="0" w:color="auto"/>
                  </w:divBdr>
                </w:div>
                <w:div w:id="1785418249">
                  <w:marLeft w:val="720"/>
                  <w:marRight w:val="0"/>
                  <w:marTop w:val="0"/>
                  <w:marBottom w:val="0"/>
                  <w:divBdr>
                    <w:top w:val="none" w:sz="0" w:space="0" w:color="auto"/>
                    <w:left w:val="none" w:sz="0" w:space="0" w:color="auto"/>
                    <w:bottom w:val="none" w:sz="0" w:space="0" w:color="auto"/>
                    <w:right w:val="none" w:sz="0" w:space="0" w:color="auto"/>
                  </w:divBdr>
                </w:div>
              </w:divsChild>
            </w:div>
            <w:div w:id="456029779">
              <w:marLeft w:val="0"/>
              <w:marRight w:val="0"/>
              <w:marTop w:val="0"/>
              <w:marBottom w:val="0"/>
              <w:divBdr>
                <w:top w:val="none" w:sz="0" w:space="0" w:color="auto"/>
                <w:left w:val="none" w:sz="0" w:space="0" w:color="auto"/>
                <w:bottom w:val="none" w:sz="0" w:space="0" w:color="auto"/>
                <w:right w:val="none" w:sz="0" w:space="0" w:color="auto"/>
              </w:divBdr>
            </w:div>
            <w:div w:id="1872762356">
              <w:marLeft w:val="0"/>
              <w:marRight w:val="0"/>
              <w:marTop w:val="0"/>
              <w:marBottom w:val="0"/>
              <w:divBdr>
                <w:top w:val="none" w:sz="0" w:space="0" w:color="auto"/>
                <w:left w:val="none" w:sz="0" w:space="0" w:color="auto"/>
                <w:bottom w:val="none" w:sz="0" w:space="0" w:color="auto"/>
                <w:right w:val="none" w:sz="0" w:space="0" w:color="auto"/>
              </w:divBdr>
            </w:div>
            <w:div w:id="895361313">
              <w:marLeft w:val="0"/>
              <w:marRight w:val="0"/>
              <w:marTop w:val="0"/>
              <w:marBottom w:val="0"/>
              <w:divBdr>
                <w:top w:val="none" w:sz="0" w:space="0" w:color="auto"/>
                <w:left w:val="none" w:sz="0" w:space="0" w:color="auto"/>
                <w:bottom w:val="none" w:sz="0" w:space="0" w:color="auto"/>
                <w:right w:val="none" w:sz="0" w:space="0" w:color="auto"/>
              </w:divBdr>
            </w:div>
            <w:div w:id="1942295307">
              <w:marLeft w:val="0"/>
              <w:marRight w:val="0"/>
              <w:marTop w:val="0"/>
              <w:marBottom w:val="0"/>
              <w:divBdr>
                <w:top w:val="none" w:sz="0" w:space="0" w:color="auto"/>
                <w:left w:val="none" w:sz="0" w:space="0" w:color="auto"/>
                <w:bottom w:val="none" w:sz="0" w:space="0" w:color="auto"/>
                <w:right w:val="none" w:sz="0" w:space="0" w:color="auto"/>
              </w:divBdr>
            </w:div>
            <w:div w:id="226839948">
              <w:marLeft w:val="0"/>
              <w:marRight w:val="0"/>
              <w:marTop w:val="0"/>
              <w:marBottom w:val="0"/>
              <w:divBdr>
                <w:top w:val="none" w:sz="0" w:space="0" w:color="auto"/>
                <w:left w:val="none" w:sz="0" w:space="0" w:color="auto"/>
                <w:bottom w:val="none" w:sz="0" w:space="0" w:color="auto"/>
                <w:right w:val="none" w:sz="0" w:space="0" w:color="auto"/>
              </w:divBdr>
            </w:div>
          </w:divsChild>
        </w:div>
        <w:div w:id="821970288">
          <w:marLeft w:val="0"/>
          <w:marRight w:val="0"/>
          <w:marTop w:val="0"/>
          <w:marBottom w:val="0"/>
          <w:divBdr>
            <w:top w:val="none" w:sz="0" w:space="0" w:color="auto"/>
            <w:left w:val="none" w:sz="0" w:space="0" w:color="auto"/>
            <w:bottom w:val="none" w:sz="0" w:space="0" w:color="auto"/>
            <w:right w:val="none" w:sz="0" w:space="0" w:color="auto"/>
          </w:divBdr>
        </w:div>
        <w:div w:id="20860325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52E5-71BD-458A-8EF3-76983EEA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Nielsen</dc:creator>
  <cp:keywords/>
  <dc:description/>
  <cp:lastModifiedBy>Neera Bhatia</cp:lastModifiedBy>
  <cp:revision>2</cp:revision>
  <cp:lastPrinted>2015-09-30T00:36:00Z</cp:lastPrinted>
  <dcterms:created xsi:type="dcterms:W3CDTF">2016-06-05T07:05:00Z</dcterms:created>
  <dcterms:modified xsi:type="dcterms:W3CDTF">2016-06-05T07:05:00Z</dcterms:modified>
</cp:coreProperties>
</file>