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3A" w:rsidRPr="00C604B2" w:rsidRDefault="0087103A" w:rsidP="0087103A">
      <w:pPr>
        <w:pStyle w:val="Heading1"/>
        <w:keepNext w:val="0"/>
        <w:widowControl w:val="0"/>
        <w:autoSpaceDE w:val="0"/>
        <w:autoSpaceDN w:val="0"/>
        <w:spacing w:before="0" w:after="0"/>
        <w:rPr>
          <w:rFonts w:ascii="Calibri" w:eastAsia="Arial Narrow" w:hAnsi="Calibri" w:cs="Arial Narrow"/>
          <w:bCs/>
          <w:caps w:val="0"/>
          <w:sz w:val="28"/>
          <w:szCs w:val="24"/>
          <w:lang w:val="en-US"/>
        </w:rPr>
      </w:pPr>
      <w:bookmarkStart w:id="0" w:name="_Ref25155692"/>
      <w:bookmarkStart w:id="1" w:name="_Toc25156075"/>
      <w:r w:rsidRPr="00C604B2">
        <w:rPr>
          <w:rFonts w:ascii="Calibri" w:eastAsia="Arial Narrow" w:hAnsi="Calibri" w:cs="Arial Narrow"/>
          <w:bCs/>
          <w:caps w:val="0"/>
          <w:sz w:val="28"/>
          <w:szCs w:val="24"/>
          <w:lang w:val="en-US"/>
        </w:rPr>
        <w:t>Basic Thermal Comfort Risk Assessment for Outdoor Work</w:t>
      </w:r>
      <w:bookmarkEnd w:id="0"/>
      <w:bookmarkEnd w:id="1"/>
    </w:p>
    <w:p w:rsidR="0087103A" w:rsidRDefault="0087103A" w:rsidP="0087103A">
      <w:pPr>
        <w:spacing w:after="0"/>
        <w:rPr>
          <w:rFonts w:ascii="Calibri" w:hAnsi="Calibri" w:cs="Calibri"/>
          <w:sz w:val="22"/>
          <w:szCs w:val="22"/>
        </w:rPr>
      </w:pPr>
    </w:p>
    <w:p w:rsidR="0087103A" w:rsidRDefault="0087103A" w:rsidP="0087103A">
      <w:pPr>
        <w:spacing w:after="0"/>
        <w:rPr>
          <w:rFonts w:ascii="Calibri" w:hAnsi="Calibri" w:cs="Calibri"/>
          <w:sz w:val="22"/>
          <w:szCs w:val="22"/>
        </w:rPr>
      </w:pPr>
      <w:r w:rsidRPr="00C604B2">
        <w:rPr>
          <w:rFonts w:ascii="Calibri" w:hAnsi="Calibri" w:cs="Calibri"/>
          <w:sz w:val="22"/>
          <w:szCs w:val="22"/>
        </w:rPr>
        <w:t>It is important to note that that this assessment is to be used as a guide only. A number of factors are not included in this assessment such as employee health condition and the use of high levels of PPE (particularly impermeable suits). In these circumstances experienced personnel should carry out a more extensive assessment.</w:t>
      </w:r>
    </w:p>
    <w:p w:rsidR="0087103A" w:rsidRPr="00C3633B" w:rsidRDefault="0087103A" w:rsidP="0087103A">
      <w:pPr>
        <w:spacing w:after="0"/>
        <w:rPr>
          <w:rFonts w:ascii="Calibri" w:hAnsi="Calibri" w:cs="Calibri"/>
          <w:sz w:val="22"/>
          <w:szCs w:val="22"/>
        </w:rPr>
      </w:pPr>
    </w:p>
    <w:tbl>
      <w:tblPr>
        <w:tblStyle w:val="GridTable4-Accent1"/>
        <w:tblW w:w="10173" w:type="dxa"/>
        <w:tblCellMar>
          <w:top w:w="28" w:type="dxa"/>
          <w:bottom w:w="28" w:type="dxa"/>
        </w:tblCellMar>
        <w:tblLook w:val="04A0" w:firstRow="1" w:lastRow="0" w:firstColumn="1" w:lastColumn="0" w:noHBand="0" w:noVBand="1"/>
      </w:tblPr>
      <w:tblGrid>
        <w:gridCol w:w="3369"/>
        <w:gridCol w:w="1843"/>
        <w:gridCol w:w="1866"/>
        <w:gridCol w:w="1856"/>
        <w:gridCol w:w="1239"/>
      </w:tblGrid>
      <w:tr w:rsidR="0087103A" w:rsidRPr="000E343F" w:rsidTr="00AD2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spacing w:after="0"/>
              <w:rPr>
                <w:rFonts w:asciiTheme="minorHAnsi" w:hAnsiTheme="minorHAnsi" w:cstheme="minorHAnsi"/>
                <w:sz w:val="22"/>
                <w:szCs w:val="22"/>
              </w:rPr>
            </w:pPr>
            <w:r>
              <w:rPr>
                <w:rFonts w:asciiTheme="minorHAnsi" w:hAnsiTheme="minorHAnsi" w:cstheme="minorHAnsi"/>
                <w:sz w:val="22"/>
                <w:szCs w:val="22"/>
              </w:rPr>
              <w:t>Criteria</w:t>
            </w:r>
          </w:p>
        </w:tc>
        <w:tc>
          <w:tcPr>
            <w:tcW w:w="5565" w:type="dxa"/>
            <w:gridSpan w:val="3"/>
          </w:tcPr>
          <w:p w:rsidR="0087103A" w:rsidRPr="000E343F"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E343F">
              <w:rPr>
                <w:rFonts w:asciiTheme="minorHAnsi" w:hAnsiTheme="minorHAnsi" w:cstheme="minorHAnsi"/>
                <w:sz w:val="22"/>
                <w:szCs w:val="22"/>
              </w:rPr>
              <w:t>For each row choose the applicable statement and enter the score in the score column (1, 2 or 3)</w:t>
            </w:r>
          </w:p>
        </w:tc>
        <w:tc>
          <w:tcPr>
            <w:tcW w:w="1239" w:type="dxa"/>
          </w:tcPr>
          <w:p w:rsidR="0087103A" w:rsidRPr="000E343F"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p>
        </w:tc>
      </w:tr>
      <w:tr w:rsidR="0087103A" w:rsidRPr="000E343F"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22" w:line="207" w:lineRule="exact"/>
              <w:jc w:val="left"/>
              <w:rPr>
                <w:rFonts w:asciiTheme="minorHAnsi" w:hAnsiTheme="minorHAnsi" w:cstheme="minorHAnsi"/>
                <w:color w:val="050505"/>
                <w:w w:val="105"/>
                <w:sz w:val="20"/>
              </w:rPr>
            </w:pPr>
          </w:p>
        </w:tc>
        <w:tc>
          <w:tcPr>
            <w:tcW w:w="1843" w:type="dxa"/>
          </w:tcPr>
          <w:p w:rsidR="0087103A" w:rsidRPr="000E343F" w:rsidRDefault="0087103A" w:rsidP="00AD20B6">
            <w:pPr>
              <w:pStyle w:val="TableParagraph"/>
              <w:spacing w:before="22" w:line="207"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50505"/>
                <w:w w:val="105"/>
                <w:sz w:val="20"/>
              </w:rPr>
            </w:pPr>
            <w:r w:rsidRPr="000E343F">
              <w:rPr>
                <w:rFonts w:asciiTheme="minorHAnsi" w:hAnsiTheme="minorHAnsi" w:cstheme="minorHAnsi"/>
                <w:b/>
                <w:color w:val="050505"/>
                <w:w w:val="105"/>
                <w:sz w:val="20"/>
              </w:rPr>
              <w:t>1</w:t>
            </w:r>
          </w:p>
        </w:tc>
        <w:tc>
          <w:tcPr>
            <w:tcW w:w="1866" w:type="dxa"/>
          </w:tcPr>
          <w:p w:rsidR="0087103A" w:rsidRPr="000E343F" w:rsidRDefault="0087103A" w:rsidP="00AD20B6">
            <w:pPr>
              <w:pStyle w:val="TableParagraph"/>
              <w:spacing w:before="22" w:line="207"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50505"/>
                <w:w w:val="105"/>
                <w:sz w:val="20"/>
              </w:rPr>
            </w:pPr>
            <w:r w:rsidRPr="000E343F">
              <w:rPr>
                <w:rFonts w:asciiTheme="minorHAnsi" w:hAnsiTheme="minorHAnsi" w:cstheme="minorHAnsi"/>
                <w:b/>
                <w:color w:val="050505"/>
                <w:w w:val="105"/>
                <w:sz w:val="20"/>
              </w:rPr>
              <w:t>2</w:t>
            </w:r>
          </w:p>
        </w:tc>
        <w:tc>
          <w:tcPr>
            <w:tcW w:w="1856" w:type="dxa"/>
          </w:tcPr>
          <w:p w:rsidR="0087103A" w:rsidRPr="000E343F" w:rsidRDefault="0087103A" w:rsidP="00AD20B6">
            <w:pPr>
              <w:pStyle w:val="TableParagraph"/>
              <w:spacing w:before="22" w:line="207" w:lineRule="exac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50505"/>
                <w:w w:val="105"/>
                <w:sz w:val="20"/>
              </w:rPr>
            </w:pPr>
            <w:r w:rsidRPr="000E343F">
              <w:rPr>
                <w:rFonts w:asciiTheme="minorHAnsi" w:hAnsiTheme="minorHAnsi" w:cstheme="minorHAnsi"/>
                <w:b/>
                <w:color w:val="050505"/>
                <w:w w:val="105"/>
                <w:sz w:val="20"/>
              </w:rPr>
              <w:t>3</w:t>
            </w:r>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Pr>
                <w:rFonts w:asciiTheme="minorHAnsi" w:hAnsiTheme="minorHAnsi" w:cstheme="minorHAnsi"/>
                <w:b/>
                <w:sz w:val="22"/>
                <w:szCs w:val="22"/>
              </w:rPr>
              <w:t>Score</w:t>
            </w: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22" w:line="207"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Hot surfaces</w:t>
            </w:r>
          </w:p>
        </w:tc>
        <w:tc>
          <w:tcPr>
            <w:tcW w:w="1843"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Contact neutral</w:t>
            </w:r>
          </w:p>
        </w:tc>
        <w:tc>
          <w:tcPr>
            <w:tcW w:w="186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Hot on contact</w:t>
            </w:r>
          </w:p>
        </w:tc>
        <w:tc>
          <w:tcPr>
            <w:tcW w:w="185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Burn on contact</w:t>
            </w:r>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17" w:line="207"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Exposure period</w:t>
            </w:r>
          </w:p>
        </w:tc>
        <w:tc>
          <w:tcPr>
            <w:tcW w:w="1843"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&lt; 30 min</w:t>
            </w:r>
          </w:p>
        </w:tc>
        <w:tc>
          <w:tcPr>
            <w:tcW w:w="186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30 min - 2 hours</w:t>
            </w:r>
          </w:p>
        </w:tc>
        <w:tc>
          <w:tcPr>
            <w:tcW w:w="185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 xml:space="preserve">&gt; 2 </w:t>
            </w:r>
            <w:proofErr w:type="spellStart"/>
            <w:r w:rsidRPr="000E343F">
              <w:rPr>
                <w:rFonts w:asciiTheme="minorHAnsi" w:hAnsiTheme="minorHAnsi" w:cstheme="minorHAnsi"/>
                <w:color w:val="050505"/>
                <w:w w:val="105"/>
                <w:sz w:val="20"/>
                <w:szCs w:val="20"/>
              </w:rPr>
              <w:t>hrs</w:t>
            </w:r>
            <w:proofErr w:type="spellEnd"/>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22" w:line="207"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Confined space</w:t>
            </w:r>
          </w:p>
        </w:tc>
        <w:tc>
          <w:tcPr>
            <w:tcW w:w="1843"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No</w:t>
            </w:r>
          </w:p>
        </w:tc>
        <w:tc>
          <w:tcPr>
            <w:tcW w:w="186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p>
        </w:tc>
        <w:tc>
          <w:tcPr>
            <w:tcW w:w="185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Yes</w:t>
            </w:r>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22" w:line="207"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Task complexity</w:t>
            </w:r>
          </w:p>
        </w:tc>
        <w:tc>
          <w:tcPr>
            <w:tcW w:w="1843"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Simple</w:t>
            </w:r>
          </w:p>
        </w:tc>
        <w:tc>
          <w:tcPr>
            <w:tcW w:w="186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Moderate</w:t>
            </w:r>
          </w:p>
        </w:tc>
        <w:tc>
          <w:tcPr>
            <w:tcW w:w="185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Complex</w:t>
            </w:r>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17" w:line="217"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Climbing, ascending, descending</w:t>
            </w:r>
          </w:p>
        </w:tc>
        <w:tc>
          <w:tcPr>
            <w:tcW w:w="1843"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None</w:t>
            </w:r>
          </w:p>
        </w:tc>
        <w:tc>
          <w:tcPr>
            <w:tcW w:w="186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Moderate</w:t>
            </w:r>
          </w:p>
        </w:tc>
        <w:tc>
          <w:tcPr>
            <w:tcW w:w="185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Significant</w:t>
            </w:r>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17" w:line="202"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Distance from cool rest area</w:t>
            </w:r>
          </w:p>
        </w:tc>
        <w:tc>
          <w:tcPr>
            <w:tcW w:w="1843"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 xml:space="preserve">&lt;50 </w:t>
            </w:r>
            <w:proofErr w:type="spellStart"/>
            <w:r w:rsidRPr="000E343F">
              <w:rPr>
                <w:rFonts w:asciiTheme="minorHAnsi" w:hAnsiTheme="minorHAnsi" w:cstheme="minorHAnsi"/>
                <w:color w:val="050505"/>
                <w:w w:val="105"/>
                <w:sz w:val="20"/>
                <w:szCs w:val="20"/>
              </w:rPr>
              <w:t>Metres</w:t>
            </w:r>
            <w:proofErr w:type="spellEnd"/>
          </w:p>
        </w:tc>
        <w:tc>
          <w:tcPr>
            <w:tcW w:w="186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 xml:space="preserve">50-100 </w:t>
            </w:r>
            <w:proofErr w:type="spellStart"/>
            <w:r w:rsidRPr="000E343F">
              <w:rPr>
                <w:rFonts w:asciiTheme="minorHAnsi" w:hAnsiTheme="minorHAnsi" w:cstheme="minorHAnsi"/>
                <w:color w:val="050505"/>
                <w:w w:val="105"/>
                <w:sz w:val="20"/>
                <w:szCs w:val="20"/>
              </w:rPr>
              <w:t>Metres</w:t>
            </w:r>
            <w:proofErr w:type="spellEnd"/>
          </w:p>
        </w:tc>
        <w:tc>
          <w:tcPr>
            <w:tcW w:w="185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 xml:space="preserve">&gt;100 </w:t>
            </w:r>
            <w:proofErr w:type="spellStart"/>
            <w:r w:rsidRPr="000E343F">
              <w:rPr>
                <w:rFonts w:asciiTheme="minorHAnsi" w:hAnsiTheme="minorHAnsi" w:cstheme="minorHAnsi"/>
                <w:color w:val="050505"/>
                <w:w w:val="105"/>
                <w:sz w:val="20"/>
                <w:szCs w:val="20"/>
              </w:rPr>
              <w:t>Metres</w:t>
            </w:r>
            <w:proofErr w:type="spellEnd"/>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22" w:line="212"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Distance from drinking water</w:t>
            </w:r>
          </w:p>
        </w:tc>
        <w:tc>
          <w:tcPr>
            <w:tcW w:w="1843"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 xml:space="preserve">&lt;30 </w:t>
            </w:r>
            <w:proofErr w:type="spellStart"/>
            <w:r w:rsidRPr="000E343F">
              <w:rPr>
                <w:rFonts w:asciiTheme="minorHAnsi" w:hAnsiTheme="minorHAnsi" w:cstheme="minorHAnsi"/>
                <w:color w:val="050505"/>
                <w:w w:val="105"/>
                <w:sz w:val="20"/>
                <w:szCs w:val="20"/>
              </w:rPr>
              <w:t>Metres</w:t>
            </w:r>
            <w:proofErr w:type="spellEnd"/>
          </w:p>
        </w:tc>
        <w:tc>
          <w:tcPr>
            <w:tcW w:w="186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 xml:space="preserve">30-50 </w:t>
            </w:r>
            <w:proofErr w:type="spellStart"/>
            <w:r w:rsidRPr="000E343F">
              <w:rPr>
                <w:rFonts w:asciiTheme="minorHAnsi" w:hAnsiTheme="minorHAnsi" w:cstheme="minorHAnsi"/>
                <w:color w:val="050505"/>
                <w:w w:val="105"/>
                <w:sz w:val="20"/>
                <w:szCs w:val="20"/>
              </w:rPr>
              <w:t>Metres</w:t>
            </w:r>
            <w:proofErr w:type="spellEnd"/>
          </w:p>
        </w:tc>
        <w:tc>
          <w:tcPr>
            <w:tcW w:w="185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 xml:space="preserve">&gt;50 </w:t>
            </w:r>
            <w:proofErr w:type="spellStart"/>
            <w:r w:rsidRPr="000E343F">
              <w:rPr>
                <w:rFonts w:asciiTheme="minorHAnsi" w:hAnsiTheme="minorHAnsi" w:cstheme="minorHAnsi"/>
                <w:color w:val="050505"/>
                <w:w w:val="105"/>
                <w:sz w:val="20"/>
                <w:szCs w:val="20"/>
              </w:rPr>
              <w:t>Metres</w:t>
            </w:r>
            <w:proofErr w:type="spellEnd"/>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12" w:line="241"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Clothing (permeable)</w:t>
            </w:r>
          </w:p>
        </w:tc>
        <w:tc>
          <w:tcPr>
            <w:tcW w:w="1843"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Single layer (light)</w:t>
            </w:r>
          </w:p>
        </w:tc>
        <w:tc>
          <w:tcPr>
            <w:tcW w:w="186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Single layer (mod)</w:t>
            </w:r>
          </w:p>
        </w:tc>
        <w:tc>
          <w:tcPr>
            <w:tcW w:w="185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Multiple layer</w:t>
            </w:r>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line="196" w:lineRule="exact"/>
              <w:jc w:val="left"/>
              <w:rPr>
                <w:rFonts w:asciiTheme="minorHAnsi" w:hAnsiTheme="minorHAnsi" w:cstheme="minorHAnsi"/>
                <w:sz w:val="20"/>
                <w:szCs w:val="20"/>
              </w:rPr>
            </w:pPr>
            <w:r w:rsidRPr="000E343F">
              <w:rPr>
                <w:rFonts w:asciiTheme="minorHAnsi" w:hAnsiTheme="minorHAnsi" w:cstheme="minorHAnsi"/>
                <w:color w:val="050505"/>
                <w:w w:val="110"/>
                <w:sz w:val="20"/>
                <w:szCs w:val="20"/>
              </w:rPr>
              <w:t>Understanding of heat strain risk</w:t>
            </w:r>
          </w:p>
        </w:tc>
        <w:tc>
          <w:tcPr>
            <w:tcW w:w="1843"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Training given</w:t>
            </w:r>
          </w:p>
        </w:tc>
        <w:tc>
          <w:tcPr>
            <w:tcW w:w="1866" w:type="dxa"/>
          </w:tcPr>
          <w:p w:rsidR="0087103A" w:rsidRPr="000E343F" w:rsidRDefault="0087103A" w:rsidP="00AD20B6">
            <w:pPr>
              <w:pStyle w:val="TableParagraph"/>
              <w:spacing w:before="22" w:line="207"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p>
        </w:tc>
        <w:tc>
          <w:tcPr>
            <w:tcW w:w="185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No training given</w:t>
            </w:r>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27" w:line="207" w:lineRule="exact"/>
              <w:jc w:val="left"/>
              <w:rPr>
                <w:rFonts w:asciiTheme="minorHAnsi" w:hAnsiTheme="minorHAnsi" w:cstheme="minorHAnsi"/>
                <w:sz w:val="20"/>
                <w:szCs w:val="20"/>
              </w:rPr>
            </w:pPr>
            <w:r w:rsidRPr="000E343F">
              <w:rPr>
                <w:rFonts w:asciiTheme="minorHAnsi" w:hAnsiTheme="minorHAnsi" w:cstheme="minorHAnsi"/>
                <w:color w:val="050505"/>
                <w:w w:val="110"/>
                <w:sz w:val="20"/>
                <w:szCs w:val="20"/>
              </w:rPr>
              <w:t>Air movement</w:t>
            </w:r>
          </w:p>
        </w:tc>
        <w:tc>
          <w:tcPr>
            <w:tcW w:w="1843"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Windy</w:t>
            </w:r>
          </w:p>
        </w:tc>
        <w:tc>
          <w:tcPr>
            <w:tcW w:w="186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Some wind</w:t>
            </w:r>
          </w:p>
        </w:tc>
        <w:tc>
          <w:tcPr>
            <w:tcW w:w="185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No wind</w:t>
            </w:r>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before="17" w:line="241" w:lineRule="exact"/>
              <w:jc w:val="left"/>
              <w:rPr>
                <w:rFonts w:asciiTheme="minorHAnsi" w:hAnsiTheme="minorHAnsi" w:cstheme="minorHAnsi"/>
                <w:sz w:val="20"/>
                <w:szCs w:val="20"/>
              </w:rPr>
            </w:pPr>
            <w:r w:rsidRPr="000E343F">
              <w:rPr>
                <w:rFonts w:asciiTheme="minorHAnsi" w:hAnsiTheme="minorHAnsi" w:cstheme="minorHAnsi"/>
                <w:color w:val="050505"/>
                <w:w w:val="105"/>
                <w:sz w:val="20"/>
                <w:szCs w:val="20"/>
              </w:rPr>
              <w:t>Resp. protection: (-</w:t>
            </w:r>
            <w:proofErr w:type="spellStart"/>
            <w:r w:rsidRPr="000E343F">
              <w:rPr>
                <w:rFonts w:asciiTheme="minorHAnsi" w:hAnsiTheme="minorHAnsi" w:cstheme="minorHAnsi"/>
                <w:color w:val="050505"/>
                <w:w w:val="105"/>
                <w:sz w:val="20"/>
                <w:szCs w:val="20"/>
              </w:rPr>
              <w:t>ve</w:t>
            </w:r>
            <w:proofErr w:type="spellEnd"/>
            <w:r w:rsidRPr="000E343F">
              <w:rPr>
                <w:rFonts w:asciiTheme="minorHAnsi" w:hAnsiTheme="minorHAnsi" w:cstheme="minorHAnsi"/>
                <w:color w:val="050505"/>
                <w:w w:val="105"/>
                <w:sz w:val="20"/>
                <w:szCs w:val="20"/>
              </w:rPr>
              <w:t xml:space="preserve"> pressure)</w:t>
            </w:r>
          </w:p>
        </w:tc>
        <w:tc>
          <w:tcPr>
            <w:tcW w:w="1843"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None</w:t>
            </w:r>
          </w:p>
        </w:tc>
        <w:tc>
          <w:tcPr>
            <w:tcW w:w="186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Half Face</w:t>
            </w:r>
          </w:p>
        </w:tc>
        <w:tc>
          <w:tcPr>
            <w:tcW w:w="1856" w:type="dxa"/>
          </w:tcPr>
          <w:p w:rsidR="0087103A" w:rsidRPr="000E343F" w:rsidRDefault="0087103A" w:rsidP="00AD20B6">
            <w:pPr>
              <w:pStyle w:val="TableParagraph"/>
              <w:spacing w:before="22" w:line="207"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50505"/>
                <w:w w:val="105"/>
                <w:sz w:val="20"/>
                <w:szCs w:val="20"/>
              </w:rPr>
            </w:pPr>
            <w:r w:rsidRPr="000E343F">
              <w:rPr>
                <w:rFonts w:asciiTheme="minorHAnsi" w:hAnsiTheme="minorHAnsi" w:cstheme="minorHAnsi"/>
                <w:color w:val="050505"/>
                <w:w w:val="105"/>
                <w:sz w:val="20"/>
                <w:szCs w:val="20"/>
              </w:rPr>
              <w:t>Full Face</w:t>
            </w:r>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pStyle w:val="TableParagraph"/>
              <w:spacing w:line="198" w:lineRule="exact"/>
              <w:jc w:val="left"/>
              <w:rPr>
                <w:rFonts w:asciiTheme="minorHAnsi" w:hAnsiTheme="minorHAnsi" w:cstheme="minorHAnsi"/>
                <w:sz w:val="20"/>
                <w:szCs w:val="20"/>
              </w:rPr>
            </w:pPr>
            <w:r w:rsidRPr="000E343F">
              <w:rPr>
                <w:rFonts w:asciiTheme="minorHAnsi" w:hAnsiTheme="minorHAnsi" w:cstheme="minorHAnsi"/>
                <w:color w:val="050505"/>
                <w:w w:val="110"/>
                <w:sz w:val="20"/>
                <w:szCs w:val="20"/>
              </w:rPr>
              <w:t>Acclimatization</w:t>
            </w:r>
          </w:p>
        </w:tc>
        <w:tc>
          <w:tcPr>
            <w:tcW w:w="1843"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proofErr w:type="spellStart"/>
            <w:r w:rsidRPr="000E343F">
              <w:rPr>
                <w:rFonts w:asciiTheme="minorHAnsi" w:hAnsiTheme="minorHAnsi" w:cstheme="minorHAnsi"/>
                <w:color w:val="050505"/>
                <w:w w:val="105"/>
                <w:sz w:val="20"/>
                <w:szCs w:val="20"/>
              </w:rPr>
              <w:t>Acclimatised</w:t>
            </w:r>
            <w:proofErr w:type="spellEnd"/>
          </w:p>
        </w:tc>
        <w:tc>
          <w:tcPr>
            <w:tcW w:w="1866"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856" w:type="dxa"/>
          </w:tcPr>
          <w:p w:rsidR="0087103A" w:rsidRPr="000E343F" w:rsidRDefault="0087103A" w:rsidP="00AD20B6">
            <w:pPr>
              <w:pStyle w:val="TableParagraph"/>
              <w:spacing w:before="22" w:line="207"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50505"/>
                <w:w w:val="105"/>
                <w:sz w:val="20"/>
                <w:szCs w:val="20"/>
              </w:rPr>
            </w:pPr>
            <w:proofErr w:type="spellStart"/>
            <w:r w:rsidRPr="000E343F">
              <w:rPr>
                <w:rFonts w:asciiTheme="minorHAnsi" w:hAnsiTheme="minorHAnsi" w:cstheme="minorHAnsi"/>
                <w:color w:val="050505"/>
                <w:w w:val="105"/>
                <w:sz w:val="20"/>
                <w:szCs w:val="20"/>
              </w:rPr>
              <w:t>Unacclimatised</w:t>
            </w:r>
            <w:proofErr w:type="spellEnd"/>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spacing w:after="0"/>
              <w:rPr>
                <w:rFonts w:asciiTheme="minorHAnsi" w:hAnsiTheme="minorHAnsi" w:cstheme="minorHAnsi"/>
                <w:sz w:val="20"/>
              </w:rPr>
            </w:pPr>
          </w:p>
        </w:tc>
        <w:tc>
          <w:tcPr>
            <w:tcW w:w="1843"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866"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856"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spacing w:after="0"/>
              <w:rPr>
                <w:rFonts w:asciiTheme="minorHAnsi" w:hAnsiTheme="minorHAnsi" w:cstheme="minorHAnsi"/>
                <w:sz w:val="20"/>
              </w:rPr>
            </w:pPr>
            <w:r>
              <w:rPr>
                <w:rFonts w:asciiTheme="minorHAnsi" w:hAnsiTheme="minorHAnsi" w:cstheme="minorHAnsi"/>
                <w:sz w:val="20"/>
              </w:rPr>
              <w:t>Total A</w:t>
            </w:r>
          </w:p>
        </w:tc>
        <w:tc>
          <w:tcPr>
            <w:tcW w:w="1843"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866"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856" w:type="dxa"/>
            <w:shd w:val="clear" w:color="auto" w:fill="9CC2E5" w:themeFill="accent1" w:themeFillTint="99"/>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0E343F">
              <w:rPr>
                <w:rFonts w:asciiTheme="minorHAnsi" w:hAnsiTheme="minorHAnsi" w:cstheme="minorHAnsi"/>
                <w:b/>
                <w:sz w:val="20"/>
              </w:rPr>
              <w:t>Total</w:t>
            </w:r>
            <w:r>
              <w:rPr>
                <w:rFonts w:asciiTheme="minorHAnsi" w:hAnsiTheme="minorHAnsi" w:cstheme="minorHAnsi"/>
                <w:b/>
                <w:sz w:val="20"/>
              </w:rPr>
              <w:t xml:space="preserve"> (add scores)</w:t>
            </w:r>
          </w:p>
        </w:tc>
        <w:tc>
          <w:tcPr>
            <w:tcW w:w="1239" w:type="dxa"/>
            <w:shd w:val="clear" w:color="auto" w:fill="9CC2E5" w:themeFill="accent1" w:themeFillTint="99"/>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spacing w:after="0"/>
              <w:rPr>
                <w:rFonts w:asciiTheme="minorHAnsi" w:hAnsiTheme="minorHAnsi" w:cstheme="minorHAnsi"/>
                <w:sz w:val="20"/>
              </w:rPr>
            </w:pPr>
          </w:p>
        </w:tc>
        <w:tc>
          <w:tcPr>
            <w:tcW w:w="1843" w:type="dxa"/>
          </w:tcPr>
          <w:p w:rsidR="0087103A" w:rsidRPr="000E343F" w:rsidRDefault="0087103A" w:rsidP="00AD20B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0E343F">
              <w:rPr>
                <w:rFonts w:asciiTheme="minorHAnsi" w:hAnsiTheme="minorHAnsi" w:cstheme="minorHAnsi"/>
                <w:b/>
                <w:sz w:val="20"/>
              </w:rPr>
              <w:t>2</w:t>
            </w:r>
          </w:p>
        </w:tc>
        <w:tc>
          <w:tcPr>
            <w:tcW w:w="1866" w:type="dxa"/>
          </w:tcPr>
          <w:p w:rsidR="0087103A" w:rsidRPr="000E343F" w:rsidRDefault="0087103A" w:rsidP="00AD20B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0E343F">
              <w:rPr>
                <w:rFonts w:asciiTheme="minorHAnsi" w:hAnsiTheme="minorHAnsi" w:cstheme="minorHAnsi"/>
                <w:b/>
                <w:sz w:val="20"/>
              </w:rPr>
              <w:t>4</w:t>
            </w:r>
          </w:p>
        </w:tc>
        <w:tc>
          <w:tcPr>
            <w:tcW w:w="1856" w:type="dxa"/>
          </w:tcPr>
          <w:p w:rsidR="0087103A" w:rsidRPr="000E343F" w:rsidRDefault="0087103A" w:rsidP="00AD20B6">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0E343F">
              <w:rPr>
                <w:rFonts w:asciiTheme="minorHAnsi" w:hAnsiTheme="minorHAnsi" w:cstheme="minorHAnsi"/>
                <w:b/>
                <w:sz w:val="20"/>
              </w:rPr>
              <w:t>6</w:t>
            </w:r>
          </w:p>
        </w:tc>
        <w:tc>
          <w:tcPr>
            <w:tcW w:w="1239"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AF381B"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spacing w:after="0"/>
              <w:rPr>
                <w:rFonts w:asciiTheme="minorHAnsi" w:hAnsiTheme="minorHAnsi" w:cstheme="minorHAnsi"/>
                <w:sz w:val="20"/>
              </w:rPr>
            </w:pPr>
            <w:r w:rsidRPr="000E343F">
              <w:rPr>
                <w:rFonts w:asciiTheme="minorHAnsi" w:hAnsiTheme="minorHAnsi" w:cstheme="minorHAnsi"/>
                <w:sz w:val="20"/>
              </w:rPr>
              <w:t>Work Rate</w:t>
            </w:r>
            <w:r>
              <w:rPr>
                <w:rFonts w:asciiTheme="minorHAnsi" w:hAnsiTheme="minorHAnsi" w:cstheme="minorHAnsi"/>
                <w:sz w:val="20"/>
              </w:rPr>
              <w:t xml:space="preserve"> (B)</w:t>
            </w:r>
          </w:p>
        </w:tc>
        <w:tc>
          <w:tcPr>
            <w:tcW w:w="1843" w:type="dxa"/>
          </w:tcPr>
          <w:p w:rsidR="0087103A" w:rsidRPr="000E343F" w:rsidRDefault="0087103A" w:rsidP="00AD20B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E343F">
              <w:rPr>
                <w:rFonts w:asciiTheme="minorHAnsi" w:hAnsiTheme="minorHAnsi" w:cstheme="minorHAnsi"/>
                <w:sz w:val="20"/>
              </w:rPr>
              <w:t>Light</w:t>
            </w:r>
          </w:p>
        </w:tc>
        <w:tc>
          <w:tcPr>
            <w:tcW w:w="1866" w:type="dxa"/>
          </w:tcPr>
          <w:p w:rsidR="0087103A" w:rsidRPr="000E343F" w:rsidRDefault="0087103A" w:rsidP="00AD20B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Moderate</w:t>
            </w:r>
          </w:p>
        </w:tc>
        <w:tc>
          <w:tcPr>
            <w:tcW w:w="1856" w:type="dxa"/>
          </w:tcPr>
          <w:p w:rsidR="0087103A" w:rsidRPr="000E343F" w:rsidRDefault="0087103A" w:rsidP="00AD20B6">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Heavy</w:t>
            </w:r>
          </w:p>
        </w:tc>
        <w:tc>
          <w:tcPr>
            <w:tcW w:w="1239" w:type="dxa"/>
          </w:tcPr>
          <w:p w:rsidR="0087103A" w:rsidRPr="000E343F"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AF381B" w:rsidTr="00AD20B6">
        <w:tc>
          <w:tcPr>
            <w:cnfStyle w:val="001000000000" w:firstRow="0" w:lastRow="0" w:firstColumn="1" w:lastColumn="0" w:oddVBand="0" w:evenVBand="0" w:oddHBand="0" w:evenHBand="0" w:firstRowFirstColumn="0" w:firstRowLastColumn="0" w:lastRowFirstColumn="0" w:lastRowLastColumn="0"/>
            <w:tcW w:w="3369" w:type="dxa"/>
          </w:tcPr>
          <w:p w:rsidR="0087103A" w:rsidRPr="000E343F" w:rsidRDefault="0087103A" w:rsidP="00AD20B6">
            <w:pPr>
              <w:spacing w:after="0"/>
              <w:rPr>
                <w:rFonts w:asciiTheme="minorHAnsi" w:hAnsiTheme="minorHAnsi" w:cstheme="minorHAnsi"/>
                <w:sz w:val="20"/>
              </w:rPr>
            </w:pPr>
            <w:r>
              <w:rPr>
                <w:rFonts w:asciiTheme="minorHAnsi" w:hAnsiTheme="minorHAnsi" w:cstheme="minorHAnsi"/>
                <w:sz w:val="20"/>
              </w:rPr>
              <w:t>Add A and B</w:t>
            </w:r>
          </w:p>
        </w:tc>
        <w:tc>
          <w:tcPr>
            <w:tcW w:w="1843"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866" w:type="dxa"/>
          </w:tcPr>
          <w:p w:rsidR="0087103A" w:rsidRPr="000E343F"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856" w:type="dxa"/>
            <w:shd w:val="clear" w:color="auto" w:fill="9CC2E5" w:themeFill="accent1" w:themeFillTint="99"/>
          </w:tcPr>
          <w:p w:rsidR="0087103A" w:rsidRPr="00C3633B"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C3633B">
              <w:rPr>
                <w:rFonts w:asciiTheme="minorHAnsi" w:hAnsiTheme="minorHAnsi" w:cstheme="minorHAnsi"/>
                <w:b/>
                <w:sz w:val="20"/>
              </w:rPr>
              <w:t>Total A + B</w:t>
            </w:r>
            <w:r>
              <w:rPr>
                <w:rFonts w:asciiTheme="minorHAnsi" w:hAnsiTheme="minorHAnsi" w:cstheme="minorHAnsi"/>
                <w:b/>
                <w:sz w:val="20"/>
              </w:rPr>
              <w:t xml:space="preserve"> = C</w:t>
            </w:r>
          </w:p>
        </w:tc>
        <w:tc>
          <w:tcPr>
            <w:tcW w:w="1239" w:type="dxa"/>
            <w:shd w:val="clear" w:color="auto" w:fill="9CC2E5" w:themeFill="accent1" w:themeFillTint="99"/>
          </w:tcPr>
          <w:p w:rsidR="0087103A" w:rsidRPr="00C3633B"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rPr>
            </w:pPr>
          </w:p>
        </w:tc>
      </w:tr>
    </w:tbl>
    <w:p w:rsidR="0087103A" w:rsidRDefault="0087103A" w:rsidP="0087103A">
      <w:pPr>
        <w:spacing w:after="0"/>
      </w:pPr>
    </w:p>
    <w:p w:rsidR="0087103A" w:rsidRDefault="0087103A" w:rsidP="0087103A">
      <w:pPr>
        <w:spacing w:after="0"/>
        <w:rPr>
          <w:rFonts w:ascii="Calibri" w:hAnsi="Calibri"/>
          <w:sz w:val="22"/>
        </w:rPr>
      </w:pPr>
      <w:r>
        <w:rPr>
          <w:rFonts w:ascii="Calibri" w:hAnsi="Calibri"/>
          <w:sz w:val="22"/>
        </w:rPr>
        <w:t xml:space="preserve">WGBT temperature can be viewed on the </w:t>
      </w:r>
      <w:hyperlink r:id="rId4" w:history="1">
        <w:r w:rsidRPr="00080589">
          <w:rPr>
            <w:rStyle w:val="Hyperlink"/>
            <w:rFonts w:ascii="Calibri" w:hAnsi="Calibri"/>
            <w:sz w:val="22"/>
          </w:rPr>
          <w:t>Bureau of Meteorology website</w:t>
        </w:r>
      </w:hyperlink>
      <w:r>
        <w:rPr>
          <w:rFonts w:ascii="Calibri" w:hAnsi="Calibri"/>
          <w:sz w:val="22"/>
        </w:rPr>
        <w:t xml:space="preserve"> </w:t>
      </w:r>
      <w:r w:rsidR="00EA33A0">
        <w:rPr>
          <w:rFonts w:ascii="Calibri" w:hAnsi="Calibri"/>
          <w:sz w:val="22"/>
        </w:rPr>
        <w:t>(</w:t>
      </w:r>
      <w:hyperlink r:id="rId5" w:history="1">
        <w:r w:rsidR="00EA33A0" w:rsidRPr="0087415D">
          <w:rPr>
            <w:rStyle w:val="Hyperlink"/>
            <w:rFonts w:ascii="Calibri" w:hAnsi="Calibri"/>
            <w:sz w:val="22"/>
          </w:rPr>
          <w:t>http://www.bom.gov.au/products/IDV65079.shtml</w:t>
        </w:r>
      </w:hyperlink>
      <w:r w:rsidR="00EA33A0">
        <w:rPr>
          <w:rFonts w:ascii="Calibri" w:hAnsi="Calibri"/>
          <w:sz w:val="22"/>
        </w:rPr>
        <w:t xml:space="preserve">) </w:t>
      </w:r>
      <w:r>
        <w:rPr>
          <w:rFonts w:ascii="Calibri" w:hAnsi="Calibri"/>
          <w:sz w:val="22"/>
        </w:rPr>
        <w:t>for most areas of Victoria.</w:t>
      </w:r>
    </w:p>
    <w:p w:rsidR="0087103A" w:rsidRDefault="0087103A" w:rsidP="0087103A">
      <w:pPr>
        <w:spacing w:after="0"/>
      </w:pPr>
    </w:p>
    <w:tbl>
      <w:tblPr>
        <w:tblStyle w:val="GridTable4-Accent1"/>
        <w:tblW w:w="10171" w:type="dxa"/>
        <w:tblLayout w:type="fixed"/>
        <w:tblCellMar>
          <w:top w:w="28" w:type="dxa"/>
          <w:bottom w:w="28" w:type="dxa"/>
        </w:tblCellMar>
        <w:tblLook w:val="04A0" w:firstRow="1" w:lastRow="0" w:firstColumn="1" w:lastColumn="0" w:noHBand="0" w:noVBand="1"/>
      </w:tblPr>
      <w:tblGrid>
        <w:gridCol w:w="3936"/>
        <w:gridCol w:w="1247"/>
        <w:gridCol w:w="1247"/>
        <w:gridCol w:w="1247"/>
        <w:gridCol w:w="1247"/>
        <w:gridCol w:w="1247"/>
      </w:tblGrid>
      <w:tr w:rsidR="0087103A" w:rsidRPr="00C604B2" w:rsidTr="00AD2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87103A" w:rsidRPr="00C604B2" w:rsidRDefault="0087103A" w:rsidP="00AD20B6">
            <w:pPr>
              <w:spacing w:after="0"/>
              <w:rPr>
                <w:rFonts w:asciiTheme="minorHAnsi" w:hAnsiTheme="minorHAnsi" w:cstheme="minorHAnsi"/>
                <w:sz w:val="20"/>
              </w:rPr>
            </w:pPr>
            <w:bookmarkStart w:id="2" w:name="_GoBack"/>
          </w:p>
        </w:tc>
        <w:tc>
          <w:tcPr>
            <w:tcW w:w="1247" w:type="dxa"/>
          </w:tcPr>
          <w:p w:rsidR="0087103A" w:rsidRPr="00C604B2"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1</w:t>
            </w:r>
          </w:p>
        </w:tc>
        <w:tc>
          <w:tcPr>
            <w:tcW w:w="1247" w:type="dxa"/>
          </w:tcPr>
          <w:p w:rsidR="0087103A" w:rsidRPr="00C604B2"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2</w:t>
            </w:r>
          </w:p>
        </w:tc>
        <w:tc>
          <w:tcPr>
            <w:tcW w:w="1247" w:type="dxa"/>
          </w:tcPr>
          <w:p w:rsidR="0087103A" w:rsidRPr="00C604B2"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3</w:t>
            </w:r>
          </w:p>
        </w:tc>
        <w:tc>
          <w:tcPr>
            <w:tcW w:w="1247" w:type="dxa"/>
          </w:tcPr>
          <w:p w:rsidR="0087103A" w:rsidRPr="00C604B2"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4</w:t>
            </w:r>
          </w:p>
        </w:tc>
        <w:tc>
          <w:tcPr>
            <w:tcW w:w="1247" w:type="dxa"/>
          </w:tcPr>
          <w:p w:rsidR="0087103A" w:rsidRPr="00C604B2"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Score</w:t>
            </w:r>
          </w:p>
        </w:tc>
      </w:tr>
      <w:bookmarkEnd w:id="2"/>
      <w:tr w:rsidR="0087103A" w:rsidRPr="00C604B2"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87103A" w:rsidRPr="00C604B2" w:rsidRDefault="0087103A" w:rsidP="00AD20B6">
            <w:pPr>
              <w:spacing w:after="0"/>
              <w:rPr>
                <w:rFonts w:asciiTheme="minorHAnsi" w:hAnsiTheme="minorHAnsi" w:cstheme="minorHAnsi"/>
                <w:sz w:val="20"/>
              </w:rPr>
            </w:pPr>
            <w:r w:rsidRPr="00C604B2">
              <w:rPr>
                <w:rFonts w:asciiTheme="minorHAnsi" w:hAnsiTheme="minorHAnsi" w:cstheme="minorHAnsi"/>
                <w:sz w:val="20"/>
              </w:rPr>
              <w:t>Wet Bulb Globe Temperature (WBGT) (D)</w:t>
            </w: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&lt; 24 C</w:t>
            </w: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&gt; 24 – 27</w:t>
            </w: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&gt; 27 – 30</w:t>
            </w: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C604B2">
              <w:rPr>
                <w:rFonts w:asciiTheme="minorHAnsi" w:hAnsiTheme="minorHAnsi" w:cstheme="minorHAnsi"/>
                <w:sz w:val="20"/>
              </w:rPr>
              <w:t>&gt; 30</w:t>
            </w: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87103A" w:rsidRPr="00C604B2" w:rsidTr="00AD20B6">
        <w:tc>
          <w:tcPr>
            <w:cnfStyle w:val="001000000000" w:firstRow="0" w:lastRow="0" w:firstColumn="1" w:lastColumn="0" w:oddVBand="0" w:evenVBand="0" w:oddHBand="0" w:evenHBand="0" w:firstRowFirstColumn="0" w:firstRowLastColumn="0" w:lastRowFirstColumn="0" w:lastRowLastColumn="0"/>
            <w:tcW w:w="3936" w:type="dxa"/>
          </w:tcPr>
          <w:p w:rsidR="0087103A" w:rsidRPr="00C604B2" w:rsidRDefault="0087103A" w:rsidP="00AD20B6">
            <w:pPr>
              <w:spacing w:after="0"/>
              <w:rPr>
                <w:rFonts w:asciiTheme="minorHAnsi" w:hAnsiTheme="minorHAnsi" w:cstheme="minorHAnsi"/>
                <w:sz w:val="20"/>
              </w:rPr>
            </w:pPr>
          </w:p>
        </w:tc>
        <w:tc>
          <w:tcPr>
            <w:tcW w:w="1247" w:type="dxa"/>
          </w:tcPr>
          <w:p w:rsidR="0087103A" w:rsidRPr="00C604B2"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47" w:type="dxa"/>
          </w:tcPr>
          <w:p w:rsidR="0087103A" w:rsidRPr="00C604B2"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47" w:type="dxa"/>
          </w:tcPr>
          <w:p w:rsidR="0087103A" w:rsidRPr="00C604B2"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47" w:type="dxa"/>
          </w:tcPr>
          <w:p w:rsidR="0087103A" w:rsidRPr="00C604B2"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c>
          <w:tcPr>
            <w:tcW w:w="1247" w:type="dxa"/>
          </w:tcPr>
          <w:p w:rsidR="0087103A" w:rsidRPr="00C604B2"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p>
        </w:tc>
      </w:tr>
      <w:tr w:rsidR="0087103A" w:rsidRPr="00C604B2"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tcPr>
          <w:p w:rsidR="0087103A" w:rsidRPr="00C604B2" w:rsidRDefault="0087103A" w:rsidP="00AD20B6">
            <w:pPr>
              <w:spacing w:after="0"/>
              <w:rPr>
                <w:rFonts w:asciiTheme="minorHAnsi" w:hAnsiTheme="minorHAnsi" w:cstheme="minorHAnsi"/>
                <w:sz w:val="20"/>
              </w:rPr>
            </w:pPr>
            <w:r w:rsidRPr="00C604B2">
              <w:rPr>
                <w:rFonts w:asciiTheme="minorHAnsi" w:hAnsiTheme="minorHAnsi" w:cstheme="minorHAnsi"/>
                <w:sz w:val="20"/>
              </w:rPr>
              <w:t>FINAL SCORE</w:t>
            </w: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247"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c>
          <w:tcPr>
            <w:tcW w:w="1247" w:type="dxa"/>
            <w:shd w:val="clear" w:color="auto" w:fill="9CC2E5" w:themeFill="accent1" w:themeFillTint="99"/>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C604B2">
              <w:rPr>
                <w:rFonts w:asciiTheme="minorHAnsi" w:hAnsiTheme="minorHAnsi" w:cstheme="minorHAnsi"/>
                <w:b/>
                <w:sz w:val="20"/>
              </w:rPr>
              <w:t>Total C X D</w:t>
            </w:r>
          </w:p>
        </w:tc>
        <w:tc>
          <w:tcPr>
            <w:tcW w:w="1247" w:type="dxa"/>
            <w:shd w:val="clear" w:color="auto" w:fill="9CC2E5" w:themeFill="accent1" w:themeFillTint="99"/>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p>
        </w:tc>
      </w:tr>
    </w:tbl>
    <w:p w:rsidR="0087103A" w:rsidRPr="00C3633B" w:rsidRDefault="0087103A" w:rsidP="0087103A">
      <w:pPr>
        <w:spacing w:after="0"/>
        <w:rPr>
          <w:rFonts w:ascii="Calibri" w:hAnsi="Calibri" w:cs="Calibri"/>
          <w:sz w:val="22"/>
          <w:szCs w:val="22"/>
        </w:rPr>
      </w:pPr>
    </w:p>
    <w:tbl>
      <w:tblPr>
        <w:tblStyle w:val="GridTable5Dark-Accent1"/>
        <w:tblW w:w="10173" w:type="dxa"/>
        <w:tblCellMar>
          <w:top w:w="28" w:type="dxa"/>
          <w:bottom w:w="28" w:type="dxa"/>
        </w:tblCellMar>
        <w:tblLook w:val="04A0" w:firstRow="1" w:lastRow="0" w:firstColumn="1" w:lastColumn="0" w:noHBand="0" w:noVBand="1"/>
      </w:tblPr>
      <w:tblGrid>
        <w:gridCol w:w="1809"/>
        <w:gridCol w:w="8364"/>
      </w:tblGrid>
      <w:tr w:rsidR="0087103A" w:rsidRPr="00C604B2" w:rsidTr="00AD2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7103A" w:rsidRPr="00C604B2" w:rsidRDefault="0087103A" w:rsidP="00AD20B6">
            <w:pPr>
              <w:spacing w:after="0"/>
              <w:rPr>
                <w:rFonts w:ascii="Calibri" w:hAnsi="Calibri" w:cs="Calibri"/>
                <w:sz w:val="20"/>
                <w:szCs w:val="22"/>
              </w:rPr>
            </w:pPr>
            <w:bookmarkStart w:id="3" w:name="WorkloadGuide"/>
            <w:r w:rsidRPr="00C604B2">
              <w:rPr>
                <w:rFonts w:ascii="Calibri" w:hAnsi="Calibri" w:cs="Calibri"/>
                <w:sz w:val="20"/>
                <w:szCs w:val="22"/>
              </w:rPr>
              <w:t>Work Rate</w:t>
            </w:r>
          </w:p>
        </w:tc>
        <w:tc>
          <w:tcPr>
            <w:tcW w:w="8364" w:type="dxa"/>
          </w:tcPr>
          <w:p w:rsidR="0087103A" w:rsidRPr="00C604B2" w:rsidRDefault="0087103A" w:rsidP="00AD20B6">
            <w:pPr>
              <w:spacing w:after="0"/>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2"/>
              </w:rPr>
            </w:pPr>
            <w:r w:rsidRPr="00C604B2">
              <w:rPr>
                <w:rFonts w:ascii="Calibri" w:hAnsi="Calibri" w:cs="Calibri"/>
                <w:sz w:val="20"/>
                <w:szCs w:val="22"/>
              </w:rPr>
              <w:t>Description</w:t>
            </w:r>
          </w:p>
        </w:tc>
      </w:tr>
      <w:tr w:rsidR="0087103A" w:rsidRPr="00C604B2"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7103A" w:rsidRPr="00C604B2" w:rsidRDefault="0087103A" w:rsidP="00AD20B6">
            <w:pPr>
              <w:spacing w:after="0"/>
              <w:rPr>
                <w:rFonts w:ascii="Calibri" w:hAnsi="Calibri" w:cs="Calibri"/>
                <w:sz w:val="20"/>
                <w:szCs w:val="22"/>
              </w:rPr>
            </w:pPr>
            <w:r w:rsidRPr="00C604B2">
              <w:rPr>
                <w:rFonts w:ascii="Calibri" w:hAnsi="Calibri" w:cs="Calibri"/>
                <w:sz w:val="20"/>
                <w:szCs w:val="22"/>
              </w:rPr>
              <w:t>Light work:</w:t>
            </w:r>
          </w:p>
        </w:tc>
        <w:tc>
          <w:tcPr>
            <w:tcW w:w="8364"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2"/>
              </w:rPr>
            </w:pPr>
            <w:r w:rsidRPr="00C604B2">
              <w:rPr>
                <w:rFonts w:ascii="Calibri" w:hAnsi="Calibri" w:cs="Calibri"/>
                <w:sz w:val="20"/>
                <w:szCs w:val="22"/>
              </w:rPr>
              <w:t>Sitting or standing to control machines; hand and arm work assembly or sorting of light materials</w:t>
            </w:r>
          </w:p>
        </w:tc>
      </w:tr>
      <w:tr w:rsidR="0087103A" w:rsidRPr="00C604B2" w:rsidTr="00AD20B6">
        <w:tc>
          <w:tcPr>
            <w:cnfStyle w:val="001000000000" w:firstRow="0" w:lastRow="0" w:firstColumn="1" w:lastColumn="0" w:oddVBand="0" w:evenVBand="0" w:oddHBand="0" w:evenHBand="0" w:firstRowFirstColumn="0" w:firstRowLastColumn="0" w:lastRowFirstColumn="0" w:lastRowLastColumn="0"/>
            <w:tcW w:w="1809" w:type="dxa"/>
          </w:tcPr>
          <w:p w:rsidR="0087103A" w:rsidRPr="00C604B2" w:rsidRDefault="0087103A" w:rsidP="00AD20B6">
            <w:pPr>
              <w:spacing w:after="0"/>
              <w:rPr>
                <w:rFonts w:ascii="Calibri" w:hAnsi="Calibri" w:cs="Calibri"/>
                <w:sz w:val="20"/>
                <w:szCs w:val="22"/>
              </w:rPr>
            </w:pPr>
            <w:r w:rsidRPr="00C604B2">
              <w:rPr>
                <w:rFonts w:ascii="Calibri" w:hAnsi="Calibri" w:cs="Calibri"/>
                <w:sz w:val="20"/>
                <w:szCs w:val="22"/>
              </w:rPr>
              <w:t>Moderate work:</w:t>
            </w:r>
          </w:p>
        </w:tc>
        <w:tc>
          <w:tcPr>
            <w:tcW w:w="8364" w:type="dxa"/>
          </w:tcPr>
          <w:p w:rsidR="0087103A" w:rsidRPr="00C604B2" w:rsidRDefault="0087103A" w:rsidP="00AD20B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2"/>
              </w:rPr>
            </w:pPr>
            <w:r w:rsidRPr="00C604B2">
              <w:rPr>
                <w:rFonts w:ascii="Calibri" w:hAnsi="Calibri" w:cs="Calibri"/>
                <w:sz w:val="20"/>
                <w:szCs w:val="22"/>
              </w:rPr>
              <w:t>Sustained hand and arm work such as hammering, handling of moderately heavy materials</w:t>
            </w:r>
          </w:p>
        </w:tc>
      </w:tr>
      <w:tr w:rsidR="0087103A" w:rsidRPr="00C604B2" w:rsidTr="00AD2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7103A" w:rsidRPr="00C604B2" w:rsidRDefault="0087103A" w:rsidP="00AD20B6">
            <w:pPr>
              <w:spacing w:after="0"/>
              <w:rPr>
                <w:rFonts w:ascii="Calibri" w:hAnsi="Calibri" w:cs="Calibri"/>
                <w:sz w:val="20"/>
                <w:szCs w:val="22"/>
              </w:rPr>
            </w:pPr>
            <w:r w:rsidRPr="00C604B2">
              <w:rPr>
                <w:rFonts w:ascii="Calibri" w:hAnsi="Calibri" w:cs="Calibri"/>
                <w:sz w:val="20"/>
                <w:szCs w:val="22"/>
              </w:rPr>
              <w:t>Heavy work</w:t>
            </w:r>
          </w:p>
        </w:tc>
        <w:tc>
          <w:tcPr>
            <w:tcW w:w="8364" w:type="dxa"/>
          </w:tcPr>
          <w:p w:rsidR="0087103A" w:rsidRPr="00C604B2" w:rsidRDefault="0087103A" w:rsidP="00AD20B6">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2"/>
              </w:rPr>
            </w:pPr>
            <w:r w:rsidRPr="00C604B2">
              <w:rPr>
                <w:rFonts w:ascii="Calibri" w:hAnsi="Calibri" w:cs="Calibri"/>
                <w:sz w:val="20"/>
                <w:szCs w:val="22"/>
              </w:rPr>
              <w:t>Pick and shovel work, continuous axe work, and carrying loads up stairs</w:t>
            </w:r>
          </w:p>
        </w:tc>
      </w:tr>
      <w:bookmarkEnd w:id="3"/>
    </w:tbl>
    <w:p w:rsidR="0087103A" w:rsidRDefault="0087103A" w:rsidP="0087103A">
      <w:pPr>
        <w:spacing w:after="0"/>
        <w:rPr>
          <w:rFonts w:ascii="Calibri" w:hAnsi="Calibri" w:cs="Calibri"/>
          <w:sz w:val="22"/>
          <w:szCs w:val="22"/>
        </w:rPr>
      </w:pPr>
    </w:p>
    <w:p w:rsidR="0087103A" w:rsidRDefault="0087103A" w:rsidP="0087103A">
      <w:pPr>
        <w:spacing w:after="0"/>
        <w:rPr>
          <w:rFonts w:ascii="Calibri" w:hAnsi="Calibri" w:cs="Calibri"/>
          <w:sz w:val="22"/>
          <w:szCs w:val="22"/>
        </w:rPr>
      </w:pPr>
      <w:r w:rsidRPr="002C243B">
        <w:rPr>
          <w:rFonts w:ascii="Calibri" w:hAnsi="Calibri" w:cs="Calibri"/>
          <w:sz w:val="22"/>
          <w:szCs w:val="22"/>
        </w:rPr>
        <w:t xml:space="preserve">If the total is </w:t>
      </w:r>
      <w:r w:rsidRPr="002C243B">
        <w:rPr>
          <w:rFonts w:ascii="Calibri" w:hAnsi="Calibri" w:cs="Calibri"/>
          <w:b/>
          <w:sz w:val="22"/>
          <w:szCs w:val="22"/>
        </w:rPr>
        <w:t>less than 28</w:t>
      </w:r>
      <w:r w:rsidRPr="002C243B">
        <w:rPr>
          <w:rFonts w:ascii="Calibri" w:hAnsi="Calibri" w:cs="Calibri"/>
          <w:sz w:val="22"/>
          <w:szCs w:val="22"/>
        </w:rPr>
        <w:t xml:space="preserve"> then the risk due to thermal conditions are low to moderate.</w:t>
      </w:r>
    </w:p>
    <w:p w:rsidR="0087103A" w:rsidRPr="002C243B" w:rsidRDefault="0087103A" w:rsidP="0087103A">
      <w:pPr>
        <w:spacing w:after="0"/>
        <w:rPr>
          <w:rFonts w:ascii="Calibri" w:hAnsi="Calibri" w:cs="Calibri"/>
          <w:sz w:val="22"/>
          <w:szCs w:val="22"/>
        </w:rPr>
      </w:pPr>
    </w:p>
    <w:p w:rsidR="0087103A" w:rsidRDefault="0087103A" w:rsidP="0087103A">
      <w:pPr>
        <w:spacing w:after="0"/>
        <w:rPr>
          <w:rFonts w:ascii="Calibri" w:hAnsi="Calibri" w:cs="Calibri"/>
          <w:sz w:val="22"/>
          <w:szCs w:val="22"/>
        </w:rPr>
      </w:pPr>
      <w:r w:rsidRPr="002C243B">
        <w:rPr>
          <w:rFonts w:ascii="Calibri" w:hAnsi="Calibri" w:cs="Calibri"/>
          <w:sz w:val="22"/>
          <w:szCs w:val="22"/>
        </w:rPr>
        <w:t xml:space="preserve">If the total is </w:t>
      </w:r>
      <w:r w:rsidRPr="002C243B">
        <w:rPr>
          <w:rFonts w:ascii="Calibri" w:hAnsi="Calibri" w:cs="Calibri"/>
          <w:b/>
          <w:sz w:val="22"/>
          <w:szCs w:val="22"/>
        </w:rPr>
        <w:t>28 to 60</w:t>
      </w:r>
      <w:r w:rsidRPr="002C243B">
        <w:rPr>
          <w:rFonts w:ascii="Calibri" w:hAnsi="Calibri" w:cs="Calibri"/>
          <w:sz w:val="22"/>
          <w:szCs w:val="22"/>
        </w:rPr>
        <w:t xml:space="preserve"> there is a potential of heat-induced illnesses occurring if the conditions are not addressed. Further analysis of heat stress risk is required</w:t>
      </w:r>
      <w:r>
        <w:rPr>
          <w:rFonts w:ascii="Calibri" w:hAnsi="Calibri" w:cs="Calibri"/>
          <w:sz w:val="22"/>
          <w:szCs w:val="22"/>
        </w:rPr>
        <w:t xml:space="preserve"> and </w:t>
      </w:r>
      <w:r w:rsidRPr="00813035">
        <w:rPr>
          <w:rFonts w:ascii="Calibri" w:hAnsi="Calibri"/>
          <w:sz w:val="22"/>
          <w:szCs w:val="22"/>
        </w:rPr>
        <w:t xml:space="preserve">‘general control’ measures should be considered (refer </w:t>
      </w:r>
      <w:r>
        <w:rPr>
          <w:rFonts w:ascii="Calibri" w:hAnsi="Calibri"/>
          <w:sz w:val="22"/>
          <w:szCs w:val="22"/>
        </w:rPr>
        <w:t xml:space="preserve">to Section </w:t>
      </w:r>
      <w:r w:rsidR="00EA33A0">
        <w:rPr>
          <w:rFonts w:ascii="Calibri" w:hAnsi="Calibri"/>
          <w:sz w:val="22"/>
          <w:szCs w:val="22"/>
        </w:rPr>
        <w:t>5.3 of the Outdoor Work Standard</w:t>
      </w:r>
      <w:r>
        <w:rPr>
          <w:rFonts w:ascii="Calibri" w:hAnsi="Calibri"/>
          <w:sz w:val="22"/>
          <w:szCs w:val="22"/>
        </w:rPr>
        <w:t>)</w:t>
      </w:r>
      <w:r w:rsidRPr="00813035">
        <w:rPr>
          <w:rFonts w:ascii="Calibri" w:hAnsi="Calibri"/>
          <w:sz w:val="22"/>
          <w:szCs w:val="22"/>
        </w:rPr>
        <w:t>.</w:t>
      </w:r>
    </w:p>
    <w:p w:rsidR="0087103A" w:rsidRPr="002C243B" w:rsidRDefault="0087103A" w:rsidP="0087103A">
      <w:pPr>
        <w:spacing w:after="0"/>
        <w:rPr>
          <w:rFonts w:ascii="Calibri" w:hAnsi="Calibri" w:cs="Calibri"/>
          <w:sz w:val="22"/>
          <w:szCs w:val="22"/>
        </w:rPr>
      </w:pPr>
    </w:p>
    <w:p w:rsidR="0087103A" w:rsidRDefault="0087103A" w:rsidP="0087103A">
      <w:pPr>
        <w:spacing w:after="0"/>
        <w:rPr>
          <w:rFonts w:ascii="Calibri" w:hAnsi="Calibri" w:cs="Calibri"/>
          <w:sz w:val="22"/>
          <w:szCs w:val="22"/>
        </w:rPr>
      </w:pPr>
      <w:r w:rsidRPr="002C243B">
        <w:rPr>
          <w:rFonts w:ascii="Calibri" w:hAnsi="Calibri" w:cs="Calibri"/>
          <w:sz w:val="22"/>
          <w:szCs w:val="22"/>
        </w:rPr>
        <w:t xml:space="preserve">If the total </w:t>
      </w:r>
      <w:r w:rsidRPr="002C243B">
        <w:rPr>
          <w:rFonts w:ascii="Calibri" w:hAnsi="Calibri" w:cs="Calibri"/>
          <w:b/>
          <w:sz w:val="22"/>
          <w:szCs w:val="22"/>
        </w:rPr>
        <w:t>exceeds 60</w:t>
      </w:r>
      <w:r w:rsidRPr="002C243B">
        <w:rPr>
          <w:rFonts w:ascii="Calibri" w:hAnsi="Calibri" w:cs="Calibri"/>
          <w:sz w:val="22"/>
          <w:szCs w:val="22"/>
        </w:rPr>
        <w:t xml:space="preserve"> then the onset of a heat-induced illness is very likely and action should be taken as soon as possible to implement controls</w:t>
      </w:r>
      <w:r w:rsidRPr="00C3633B">
        <w:rPr>
          <w:rFonts w:ascii="Calibri" w:hAnsi="Calibri" w:cs="Calibri"/>
          <w:sz w:val="22"/>
          <w:szCs w:val="22"/>
        </w:rPr>
        <w:t>.</w:t>
      </w:r>
      <w:r>
        <w:rPr>
          <w:rFonts w:ascii="Calibri" w:hAnsi="Calibri" w:cs="Calibri"/>
          <w:sz w:val="22"/>
          <w:szCs w:val="22"/>
        </w:rPr>
        <w:t xml:space="preserve"> </w:t>
      </w:r>
      <w:r w:rsidRPr="00813035">
        <w:rPr>
          <w:rFonts w:ascii="Calibri" w:hAnsi="Calibri"/>
          <w:sz w:val="22"/>
          <w:szCs w:val="22"/>
        </w:rPr>
        <w:t>.</w:t>
      </w:r>
      <w:r>
        <w:rPr>
          <w:rFonts w:ascii="Calibri" w:hAnsi="Calibri"/>
          <w:sz w:val="22"/>
          <w:szCs w:val="22"/>
        </w:rPr>
        <w:t xml:space="preserve"> Please contact </w:t>
      </w:r>
      <w:hyperlink r:id="rId6" w:history="1">
        <w:r w:rsidRPr="00106B6A">
          <w:rPr>
            <w:rStyle w:val="Hyperlink"/>
            <w:rFonts w:ascii="Calibri" w:hAnsi="Calibri"/>
            <w:sz w:val="22"/>
            <w:szCs w:val="22"/>
          </w:rPr>
          <w:t>Health, Wellbeing and Safety</w:t>
        </w:r>
      </w:hyperlink>
      <w:r>
        <w:rPr>
          <w:rFonts w:ascii="Calibri" w:hAnsi="Calibri"/>
          <w:sz w:val="22"/>
          <w:szCs w:val="22"/>
        </w:rPr>
        <w:t xml:space="preserve"> (HR) or your local OHS officer.</w:t>
      </w:r>
    </w:p>
    <w:p w:rsidR="00960AA6" w:rsidRDefault="00960AA6"/>
    <w:sectPr w:rsidR="00960AA6" w:rsidSect="00EA33A0">
      <w:pgSz w:w="11906" w:h="16838"/>
      <w:pgMar w:top="851"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3A"/>
    <w:rsid w:val="00554C22"/>
    <w:rsid w:val="0087103A"/>
    <w:rsid w:val="00960AA6"/>
    <w:rsid w:val="00EA3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8AA7"/>
  <w15:chartTrackingRefBased/>
  <w15:docId w15:val="{A0D9D1C1-5737-4A32-B94A-38EB08AC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87103A"/>
    <w:pPr>
      <w:spacing w:after="240" w:line="240" w:lineRule="auto"/>
    </w:pPr>
    <w:rPr>
      <w:rFonts w:ascii="Arial" w:eastAsia="Times New Roman" w:hAnsi="Arial" w:cs="Times New Roman"/>
      <w:sz w:val="18"/>
      <w:szCs w:val="20"/>
    </w:rPr>
  </w:style>
  <w:style w:type="paragraph" w:styleId="Heading1">
    <w:name w:val="heading 1"/>
    <w:aliases w:val="1"/>
    <w:basedOn w:val="Normal"/>
    <w:next w:val="Normal"/>
    <w:link w:val="Heading1Char"/>
    <w:uiPriority w:val="1"/>
    <w:qFormat/>
    <w:rsid w:val="0087103A"/>
    <w:pPr>
      <w:keepNext/>
      <w:spacing w:before="240" w:after="120"/>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103A"/>
    <w:rPr>
      <w:rFonts w:ascii="Arial" w:eastAsia="Times New Roman" w:hAnsi="Arial" w:cs="Times New Roman"/>
      <w:b/>
      <w:caps/>
      <w:sz w:val="18"/>
      <w:szCs w:val="20"/>
    </w:rPr>
  </w:style>
  <w:style w:type="character" w:styleId="Hyperlink">
    <w:name w:val="Hyperlink"/>
    <w:uiPriority w:val="99"/>
    <w:unhideWhenUsed/>
    <w:rsid w:val="0087103A"/>
    <w:rPr>
      <w:color w:val="0563C1"/>
      <w:u w:val="single"/>
    </w:rPr>
  </w:style>
  <w:style w:type="paragraph" w:customStyle="1" w:styleId="TableParagraph">
    <w:name w:val="Table Paragraph"/>
    <w:basedOn w:val="Normal"/>
    <w:uiPriority w:val="1"/>
    <w:qFormat/>
    <w:rsid w:val="0087103A"/>
    <w:pPr>
      <w:widowControl w:val="0"/>
      <w:autoSpaceDE w:val="0"/>
      <w:autoSpaceDN w:val="0"/>
      <w:spacing w:after="0"/>
      <w:jc w:val="right"/>
    </w:pPr>
    <w:rPr>
      <w:rFonts w:ascii="Times New Roman" w:hAnsi="Times New Roman"/>
      <w:sz w:val="22"/>
      <w:szCs w:val="22"/>
      <w:lang w:val="en-US"/>
    </w:rPr>
  </w:style>
  <w:style w:type="table" w:styleId="GridTable4-Accent1">
    <w:name w:val="Grid Table 4 Accent 1"/>
    <w:basedOn w:val="TableNormal"/>
    <w:uiPriority w:val="49"/>
    <w:rsid w:val="0087103A"/>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87103A"/>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akin.edu.au/about-deakin/faculties-and-divisions/administrative-divisions/human-resources-division" TargetMode="External"/><Relationship Id="rId5" Type="http://schemas.openxmlformats.org/officeDocument/2006/relationships/hyperlink" Target="http://www.bom.gov.au/products/IDV65079.shtml" TargetMode="External"/><Relationship Id="rId4" Type="http://schemas.openxmlformats.org/officeDocument/2006/relationships/hyperlink" Target="http://www.bom.gov.au/products/IDV6507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O'Donoghue</dc:creator>
  <cp:keywords/>
  <dc:description/>
  <cp:lastModifiedBy>Michael O'Donoghue</cp:lastModifiedBy>
  <cp:revision>2</cp:revision>
  <dcterms:created xsi:type="dcterms:W3CDTF">2019-12-02T01:15:00Z</dcterms:created>
  <dcterms:modified xsi:type="dcterms:W3CDTF">2019-12-02T01:20:00Z</dcterms:modified>
</cp:coreProperties>
</file>